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2BF5" w14:textId="31A7433F" w:rsidR="00D71AAA" w:rsidRPr="00533683" w:rsidRDefault="0078160C" w:rsidP="00253656">
      <w:pPr>
        <w:rPr>
          <w:i/>
          <w:iCs/>
          <w:sz w:val="24"/>
          <w:szCs w:val="24"/>
          <w:lang w:val="en-CA"/>
        </w:rPr>
      </w:pPr>
      <w:r w:rsidRPr="00533683">
        <w:rPr>
          <w:i/>
          <w:iCs/>
          <w:sz w:val="24"/>
          <w:szCs w:val="24"/>
          <w:lang w:val="en-CA"/>
        </w:rPr>
        <w:t xml:space="preserve">Fourth </w:t>
      </w:r>
      <w:r w:rsidR="00D71AAA" w:rsidRPr="00533683">
        <w:rPr>
          <w:i/>
          <w:iCs/>
          <w:sz w:val="24"/>
          <w:szCs w:val="24"/>
          <w:lang w:val="en-CA"/>
        </w:rPr>
        <w:t>Quarter 2020 client letter template</w:t>
      </w:r>
      <w:r w:rsidR="00FE40BF" w:rsidRPr="00533683">
        <w:rPr>
          <w:i/>
          <w:iCs/>
          <w:sz w:val="24"/>
          <w:szCs w:val="24"/>
          <w:lang w:val="en-CA"/>
        </w:rPr>
        <w:t xml:space="preserve"> (general)</w:t>
      </w:r>
    </w:p>
    <w:p w14:paraId="29780A72" w14:textId="77777777" w:rsidR="006A01C0" w:rsidRDefault="006A01C0" w:rsidP="00253656">
      <w:pPr>
        <w:rPr>
          <w:sz w:val="24"/>
          <w:szCs w:val="24"/>
          <w:lang w:val="en-CA"/>
        </w:rPr>
      </w:pPr>
      <w:bookmarkStart w:id="0" w:name="_Hlk60823323"/>
    </w:p>
    <w:p w14:paraId="46AB3160" w14:textId="77D109F6" w:rsidR="00D71AAA" w:rsidRPr="00533683" w:rsidRDefault="00D71AAA" w:rsidP="00253656">
      <w:pPr>
        <w:rPr>
          <w:sz w:val="24"/>
          <w:szCs w:val="24"/>
          <w:lang w:val="en-CA"/>
        </w:rPr>
      </w:pPr>
      <w:bookmarkStart w:id="1" w:name="_GoBack"/>
      <w:bookmarkEnd w:id="1"/>
      <w:r w:rsidRPr="00533683">
        <w:rPr>
          <w:sz w:val="24"/>
          <w:szCs w:val="24"/>
          <w:lang w:val="en-CA"/>
        </w:rPr>
        <w:t>January x, 2021</w:t>
      </w:r>
    </w:p>
    <w:p w14:paraId="5BB09BD0" w14:textId="77777777" w:rsidR="00D71AAA" w:rsidRPr="00533683" w:rsidRDefault="00D71AAA" w:rsidP="00253656">
      <w:pPr>
        <w:rPr>
          <w:sz w:val="24"/>
          <w:szCs w:val="24"/>
          <w:lang w:val="en-CA"/>
        </w:rPr>
      </w:pPr>
      <w:r w:rsidRPr="00533683">
        <w:rPr>
          <w:sz w:val="24"/>
          <w:szCs w:val="24"/>
          <w:lang w:val="en-CA"/>
        </w:rPr>
        <w:t>Dear client,</w:t>
      </w:r>
    </w:p>
    <w:p w14:paraId="02E3DEBD" w14:textId="0754017C" w:rsidR="0078160C" w:rsidRPr="00533683" w:rsidRDefault="002176D6" w:rsidP="00253656">
      <w:pPr>
        <w:rPr>
          <w:sz w:val="24"/>
          <w:szCs w:val="24"/>
          <w:lang w:val="en-CA"/>
        </w:rPr>
      </w:pPr>
      <w:r w:rsidRPr="00533683">
        <w:rPr>
          <w:sz w:val="24"/>
          <w:szCs w:val="24"/>
          <w:lang w:val="en-CA"/>
        </w:rPr>
        <w:t xml:space="preserve">2020 was a year </w:t>
      </w:r>
      <w:r w:rsidR="00380DB1" w:rsidRPr="00533683">
        <w:rPr>
          <w:sz w:val="24"/>
          <w:szCs w:val="24"/>
          <w:lang w:val="en-CA"/>
        </w:rPr>
        <w:t>none</w:t>
      </w:r>
      <w:r w:rsidR="00C853CB" w:rsidRPr="00533683">
        <w:rPr>
          <w:sz w:val="24"/>
          <w:szCs w:val="24"/>
          <w:lang w:val="en-CA"/>
        </w:rPr>
        <w:t xml:space="preserve"> of us</w:t>
      </w:r>
      <w:r w:rsidR="00380DB1" w:rsidRPr="00533683">
        <w:rPr>
          <w:sz w:val="24"/>
          <w:szCs w:val="24"/>
          <w:lang w:val="en-CA"/>
        </w:rPr>
        <w:t xml:space="preserve"> will soon forget</w:t>
      </w:r>
      <w:r w:rsidRPr="00533683">
        <w:rPr>
          <w:sz w:val="24"/>
          <w:szCs w:val="24"/>
          <w:lang w:val="en-CA"/>
        </w:rPr>
        <w:t xml:space="preserve">. </w:t>
      </w:r>
      <w:r w:rsidR="00380DB1" w:rsidRPr="00533683">
        <w:rPr>
          <w:sz w:val="24"/>
          <w:szCs w:val="24"/>
          <w:lang w:val="en-CA"/>
        </w:rPr>
        <w:t xml:space="preserve">It </w:t>
      </w:r>
      <w:r w:rsidR="002202D3" w:rsidRPr="00533683">
        <w:rPr>
          <w:sz w:val="24"/>
          <w:szCs w:val="24"/>
          <w:lang w:val="en-CA"/>
        </w:rPr>
        <w:t xml:space="preserve">started </w:t>
      </w:r>
      <w:r w:rsidR="00C853CB" w:rsidRPr="00533683">
        <w:rPr>
          <w:sz w:val="24"/>
          <w:szCs w:val="24"/>
          <w:lang w:val="en-CA"/>
        </w:rPr>
        <w:t>strongly</w:t>
      </w:r>
      <w:r w:rsidR="002202D3" w:rsidRPr="00533683">
        <w:rPr>
          <w:sz w:val="24"/>
          <w:szCs w:val="24"/>
          <w:lang w:val="en-CA"/>
        </w:rPr>
        <w:t xml:space="preserve">, </w:t>
      </w:r>
      <w:r w:rsidR="009E2B94" w:rsidRPr="00533683">
        <w:rPr>
          <w:sz w:val="24"/>
          <w:szCs w:val="24"/>
          <w:lang w:val="en-CA"/>
        </w:rPr>
        <w:t xml:space="preserve">with </w:t>
      </w:r>
      <w:r w:rsidR="00C853CB" w:rsidRPr="00533683">
        <w:rPr>
          <w:sz w:val="24"/>
          <w:szCs w:val="24"/>
          <w:lang w:val="en-CA"/>
        </w:rPr>
        <w:t>equity</w:t>
      </w:r>
      <w:r w:rsidR="00380DB1" w:rsidRPr="00533683">
        <w:rPr>
          <w:sz w:val="24"/>
          <w:szCs w:val="24"/>
          <w:lang w:val="en-CA"/>
        </w:rPr>
        <w:t xml:space="preserve"> markets</w:t>
      </w:r>
      <w:r w:rsidR="002202D3" w:rsidRPr="00533683">
        <w:rPr>
          <w:sz w:val="24"/>
          <w:szCs w:val="24"/>
          <w:lang w:val="en-CA"/>
        </w:rPr>
        <w:t xml:space="preserve"> </w:t>
      </w:r>
      <w:r w:rsidR="00380DB1" w:rsidRPr="00533683">
        <w:rPr>
          <w:sz w:val="24"/>
          <w:szCs w:val="24"/>
          <w:lang w:val="en-CA"/>
        </w:rPr>
        <w:t>at all-time highs and unemployment near record lows</w:t>
      </w:r>
      <w:r w:rsidR="00AC45BE" w:rsidRPr="00533683">
        <w:rPr>
          <w:sz w:val="24"/>
          <w:szCs w:val="24"/>
          <w:lang w:val="en-CA"/>
        </w:rPr>
        <w:t>. B</w:t>
      </w:r>
      <w:r w:rsidR="00C853CB" w:rsidRPr="00533683">
        <w:rPr>
          <w:sz w:val="24"/>
          <w:szCs w:val="24"/>
          <w:lang w:val="en-CA"/>
        </w:rPr>
        <w:t>ut b</w:t>
      </w:r>
      <w:r w:rsidR="00380DB1" w:rsidRPr="00533683">
        <w:rPr>
          <w:sz w:val="24"/>
          <w:szCs w:val="24"/>
          <w:lang w:val="en-CA"/>
        </w:rPr>
        <w:t>y mid-March</w:t>
      </w:r>
      <w:r w:rsidR="002202D3" w:rsidRPr="00533683">
        <w:rPr>
          <w:sz w:val="24"/>
          <w:szCs w:val="24"/>
          <w:lang w:val="en-CA"/>
        </w:rPr>
        <w:t>,</w:t>
      </w:r>
      <w:r w:rsidR="003E21DB" w:rsidRPr="00533683">
        <w:rPr>
          <w:sz w:val="24"/>
          <w:szCs w:val="24"/>
          <w:lang w:val="en-CA"/>
        </w:rPr>
        <w:t xml:space="preserve"> a new coronavirus</w:t>
      </w:r>
      <w:r w:rsidR="00380DB1" w:rsidRPr="00533683">
        <w:rPr>
          <w:sz w:val="24"/>
          <w:szCs w:val="24"/>
          <w:lang w:val="en-CA"/>
        </w:rPr>
        <w:t xml:space="preserve"> </w:t>
      </w:r>
      <w:r w:rsidR="00AC45BE" w:rsidRPr="00533683">
        <w:rPr>
          <w:sz w:val="24"/>
          <w:szCs w:val="24"/>
          <w:lang w:val="en-CA"/>
        </w:rPr>
        <w:t>had reached North America after</w:t>
      </w:r>
      <w:r w:rsidR="002202D3" w:rsidRPr="00533683">
        <w:rPr>
          <w:sz w:val="24"/>
          <w:szCs w:val="24"/>
          <w:lang w:val="en-CA"/>
        </w:rPr>
        <w:t xml:space="preserve"> emerg</w:t>
      </w:r>
      <w:r w:rsidR="00AC45BE" w:rsidRPr="00533683">
        <w:rPr>
          <w:sz w:val="24"/>
          <w:szCs w:val="24"/>
          <w:lang w:val="en-CA"/>
        </w:rPr>
        <w:t>ing</w:t>
      </w:r>
      <w:r w:rsidR="002202D3" w:rsidRPr="00533683">
        <w:rPr>
          <w:sz w:val="24"/>
          <w:szCs w:val="24"/>
          <w:lang w:val="en-CA"/>
        </w:rPr>
        <w:t xml:space="preserve"> overseas</w:t>
      </w:r>
      <w:r w:rsidR="00AC45BE" w:rsidRPr="00533683">
        <w:rPr>
          <w:sz w:val="24"/>
          <w:szCs w:val="24"/>
          <w:lang w:val="en-CA"/>
        </w:rPr>
        <w:t xml:space="preserve"> in late 2019</w:t>
      </w:r>
      <w:r w:rsidR="00380DB1" w:rsidRPr="00533683">
        <w:rPr>
          <w:sz w:val="24"/>
          <w:szCs w:val="24"/>
          <w:lang w:val="en-CA"/>
        </w:rPr>
        <w:t xml:space="preserve">. </w:t>
      </w:r>
      <w:r w:rsidR="00C853CB" w:rsidRPr="00533683">
        <w:rPr>
          <w:sz w:val="24"/>
          <w:szCs w:val="24"/>
          <w:lang w:val="en-CA"/>
        </w:rPr>
        <w:t>Governments</w:t>
      </w:r>
      <w:r w:rsidR="003E21DB" w:rsidRPr="00533683">
        <w:rPr>
          <w:sz w:val="24"/>
          <w:szCs w:val="24"/>
          <w:lang w:val="en-CA"/>
        </w:rPr>
        <w:t xml:space="preserve"> </w:t>
      </w:r>
      <w:r w:rsidR="00AC45BE" w:rsidRPr="00533683">
        <w:rPr>
          <w:sz w:val="24"/>
          <w:szCs w:val="24"/>
          <w:lang w:val="en-CA"/>
        </w:rPr>
        <w:t xml:space="preserve">around the world </w:t>
      </w:r>
      <w:r w:rsidR="00C853CB" w:rsidRPr="00533683">
        <w:rPr>
          <w:sz w:val="24"/>
          <w:szCs w:val="24"/>
          <w:lang w:val="en-CA"/>
        </w:rPr>
        <w:t xml:space="preserve">abruptly shuttered their economies and issued shelter-in-place orders </w:t>
      </w:r>
      <w:proofErr w:type="gramStart"/>
      <w:r w:rsidR="002202D3" w:rsidRPr="00533683">
        <w:rPr>
          <w:sz w:val="24"/>
          <w:szCs w:val="24"/>
          <w:lang w:val="en-CA"/>
        </w:rPr>
        <w:t>in an effort to</w:t>
      </w:r>
      <w:proofErr w:type="gramEnd"/>
      <w:r w:rsidR="002202D3" w:rsidRPr="00533683">
        <w:rPr>
          <w:sz w:val="24"/>
          <w:szCs w:val="24"/>
          <w:lang w:val="en-CA"/>
        </w:rPr>
        <w:t xml:space="preserve"> slow the spread</w:t>
      </w:r>
      <w:r w:rsidR="00C853CB" w:rsidRPr="00533683">
        <w:rPr>
          <w:sz w:val="24"/>
          <w:szCs w:val="24"/>
          <w:lang w:val="en-CA"/>
        </w:rPr>
        <w:t xml:space="preserve"> of the disease – resulting in </w:t>
      </w:r>
      <w:r w:rsidR="00447831" w:rsidRPr="00533683">
        <w:rPr>
          <w:sz w:val="24"/>
          <w:szCs w:val="24"/>
          <w:lang w:val="en-CA"/>
        </w:rPr>
        <w:t>sharp and drastic declines across m</w:t>
      </w:r>
      <w:r w:rsidR="003E21DB" w:rsidRPr="00533683">
        <w:rPr>
          <w:sz w:val="24"/>
          <w:szCs w:val="24"/>
          <w:lang w:val="en-CA"/>
        </w:rPr>
        <w:t>ajor stock ind</w:t>
      </w:r>
      <w:r w:rsidR="00C853CB" w:rsidRPr="00533683">
        <w:rPr>
          <w:sz w:val="24"/>
          <w:szCs w:val="24"/>
          <w:lang w:val="en-CA"/>
        </w:rPr>
        <w:t>exes</w:t>
      </w:r>
      <w:r w:rsidR="003E21DB" w:rsidRPr="00533683">
        <w:rPr>
          <w:sz w:val="24"/>
          <w:szCs w:val="24"/>
          <w:lang w:val="en-CA"/>
        </w:rPr>
        <w:t xml:space="preserve"> </w:t>
      </w:r>
      <w:r w:rsidR="004D741E" w:rsidRPr="00533683">
        <w:rPr>
          <w:sz w:val="24"/>
          <w:szCs w:val="24"/>
          <w:lang w:val="en-CA"/>
        </w:rPr>
        <w:t>globally</w:t>
      </w:r>
      <w:r w:rsidR="003E21DB" w:rsidRPr="00533683">
        <w:rPr>
          <w:sz w:val="24"/>
          <w:szCs w:val="24"/>
          <w:lang w:val="en-CA"/>
        </w:rPr>
        <w:t>.</w:t>
      </w:r>
      <w:r w:rsidRPr="00533683">
        <w:rPr>
          <w:sz w:val="24"/>
          <w:szCs w:val="24"/>
          <w:lang w:val="en-CA"/>
        </w:rPr>
        <w:t xml:space="preserve"> </w:t>
      </w:r>
    </w:p>
    <w:p w14:paraId="60E0EE60" w14:textId="48A2081F" w:rsidR="00447831" w:rsidRPr="00533683" w:rsidRDefault="00253656" w:rsidP="00253656">
      <w:pPr>
        <w:rPr>
          <w:sz w:val="24"/>
          <w:szCs w:val="24"/>
          <w:lang w:val="en-CA"/>
        </w:rPr>
      </w:pPr>
      <w:r w:rsidRPr="00533683">
        <w:rPr>
          <w:sz w:val="24"/>
          <w:szCs w:val="24"/>
          <w:lang w:val="en-CA"/>
        </w:rPr>
        <w:t>As the first wave of COVID-19 infections began to slow o</w:t>
      </w:r>
      <w:r w:rsidR="00C853CB" w:rsidRPr="00533683">
        <w:rPr>
          <w:sz w:val="24"/>
          <w:szCs w:val="24"/>
          <w:lang w:val="en-CA"/>
        </w:rPr>
        <w:t>ver the second and third quarters of the year, m</w:t>
      </w:r>
      <w:r w:rsidR="001C2D2C" w:rsidRPr="00533683">
        <w:rPr>
          <w:sz w:val="24"/>
          <w:szCs w:val="24"/>
          <w:lang w:val="en-CA"/>
        </w:rPr>
        <w:t xml:space="preserve">arkets </w:t>
      </w:r>
      <w:r w:rsidRPr="00533683">
        <w:rPr>
          <w:sz w:val="24"/>
          <w:szCs w:val="24"/>
          <w:lang w:val="en-CA"/>
        </w:rPr>
        <w:t xml:space="preserve">then staged an impressive recovery. This was </w:t>
      </w:r>
      <w:r w:rsidR="008A0A44" w:rsidRPr="00533683">
        <w:rPr>
          <w:sz w:val="24"/>
          <w:szCs w:val="24"/>
          <w:lang w:val="en-CA"/>
        </w:rPr>
        <w:t>particularly</w:t>
      </w:r>
      <w:r w:rsidRPr="00533683">
        <w:rPr>
          <w:sz w:val="24"/>
          <w:szCs w:val="24"/>
          <w:lang w:val="en-CA"/>
        </w:rPr>
        <w:t xml:space="preserve"> true</w:t>
      </w:r>
      <w:r w:rsidR="008A0A44" w:rsidRPr="00533683">
        <w:rPr>
          <w:sz w:val="24"/>
          <w:szCs w:val="24"/>
          <w:lang w:val="en-CA"/>
        </w:rPr>
        <w:t xml:space="preserve"> in the U.S. </w:t>
      </w:r>
      <w:r w:rsidR="001C2D2C" w:rsidRPr="00533683">
        <w:rPr>
          <w:sz w:val="24"/>
          <w:szCs w:val="24"/>
          <w:lang w:val="en-CA"/>
        </w:rPr>
        <w:t xml:space="preserve">where the S&amp;P 500 Index, a broad representation of the U.S. equity market, regained </w:t>
      </w:r>
      <w:proofErr w:type="gramStart"/>
      <w:r w:rsidR="00447831" w:rsidRPr="00533683">
        <w:rPr>
          <w:sz w:val="24"/>
          <w:szCs w:val="24"/>
          <w:lang w:val="en-CA"/>
        </w:rPr>
        <w:t>all</w:t>
      </w:r>
      <w:r w:rsidR="001C2D2C" w:rsidRPr="00533683">
        <w:rPr>
          <w:sz w:val="24"/>
          <w:szCs w:val="24"/>
          <w:lang w:val="en-CA"/>
        </w:rPr>
        <w:t xml:space="preserve"> of</w:t>
      </w:r>
      <w:proofErr w:type="gramEnd"/>
      <w:r w:rsidR="001C2D2C" w:rsidRPr="00533683">
        <w:rPr>
          <w:sz w:val="24"/>
          <w:szCs w:val="24"/>
          <w:lang w:val="en-CA"/>
        </w:rPr>
        <w:t xml:space="preserve"> its losses by mid-August</w:t>
      </w:r>
      <w:r w:rsidR="00521D5F" w:rsidRPr="00533683">
        <w:rPr>
          <w:sz w:val="24"/>
          <w:szCs w:val="24"/>
          <w:lang w:val="en-CA"/>
        </w:rPr>
        <w:t xml:space="preserve"> – the fastest rebound on record</w:t>
      </w:r>
      <w:r w:rsidR="001C2D2C" w:rsidRPr="00533683">
        <w:rPr>
          <w:sz w:val="24"/>
          <w:szCs w:val="24"/>
          <w:lang w:val="en-CA"/>
        </w:rPr>
        <w:t>.</w:t>
      </w:r>
      <w:r w:rsidR="00447831" w:rsidRPr="00533683">
        <w:rPr>
          <w:sz w:val="24"/>
          <w:szCs w:val="24"/>
          <w:lang w:val="en-CA"/>
        </w:rPr>
        <w:t xml:space="preserve"> </w:t>
      </w:r>
    </w:p>
    <w:p w14:paraId="535B2D5B" w14:textId="3F27B0C2" w:rsidR="009667DF" w:rsidRPr="00533683" w:rsidRDefault="009667DF" w:rsidP="00253656">
      <w:pPr>
        <w:rPr>
          <w:sz w:val="24"/>
          <w:szCs w:val="24"/>
          <w:lang w:val="en-CA"/>
        </w:rPr>
      </w:pPr>
      <w:r w:rsidRPr="00533683">
        <w:rPr>
          <w:sz w:val="24"/>
          <w:szCs w:val="24"/>
          <w:lang w:val="en-CA"/>
        </w:rPr>
        <w:t xml:space="preserve">Despite a resurgence of COVID-19 cases </w:t>
      </w:r>
      <w:r w:rsidR="00C853CB" w:rsidRPr="00533683">
        <w:rPr>
          <w:sz w:val="24"/>
          <w:szCs w:val="24"/>
          <w:lang w:val="en-CA"/>
        </w:rPr>
        <w:t xml:space="preserve">and renewed lockdowns </w:t>
      </w:r>
      <w:r w:rsidRPr="00533683">
        <w:rPr>
          <w:sz w:val="24"/>
          <w:szCs w:val="24"/>
          <w:lang w:val="en-CA"/>
        </w:rPr>
        <w:t>in many regions, markets trended upward during the fourth quarter</w:t>
      </w:r>
      <w:r w:rsidR="00C853CB" w:rsidRPr="00533683">
        <w:rPr>
          <w:sz w:val="24"/>
          <w:szCs w:val="24"/>
          <w:lang w:val="en-CA"/>
        </w:rPr>
        <w:t xml:space="preserve"> of 2020</w:t>
      </w:r>
      <w:r w:rsidRPr="00533683">
        <w:rPr>
          <w:sz w:val="24"/>
          <w:szCs w:val="24"/>
          <w:lang w:val="en-CA"/>
        </w:rPr>
        <w:t xml:space="preserve">, boosted by </w:t>
      </w:r>
      <w:r w:rsidR="00690D7A" w:rsidRPr="00533683">
        <w:rPr>
          <w:sz w:val="24"/>
          <w:szCs w:val="24"/>
          <w:lang w:val="en-CA"/>
        </w:rPr>
        <w:t>growing clarity around the outcome of the U.S. presidential election</w:t>
      </w:r>
      <w:r w:rsidRPr="00533683">
        <w:rPr>
          <w:sz w:val="24"/>
          <w:szCs w:val="24"/>
          <w:lang w:val="en-CA"/>
        </w:rPr>
        <w:t xml:space="preserve"> and </w:t>
      </w:r>
      <w:r w:rsidR="00E5740F" w:rsidRPr="00533683">
        <w:rPr>
          <w:sz w:val="24"/>
          <w:szCs w:val="24"/>
          <w:lang w:val="en-CA"/>
        </w:rPr>
        <w:t>significant COVID-19 vaccine progress</w:t>
      </w:r>
      <w:r w:rsidRPr="00533683">
        <w:rPr>
          <w:sz w:val="24"/>
          <w:szCs w:val="24"/>
          <w:lang w:val="en-CA"/>
        </w:rPr>
        <w:t xml:space="preserve">. </w:t>
      </w:r>
      <w:r w:rsidR="004C4E40" w:rsidRPr="00533683">
        <w:rPr>
          <w:sz w:val="24"/>
          <w:szCs w:val="24"/>
          <w:lang w:val="en-CA"/>
        </w:rPr>
        <w:t>With the rollout out of approved vaccines</w:t>
      </w:r>
      <w:r w:rsidR="00C853CB" w:rsidRPr="00533683">
        <w:rPr>
          <w:sz w:val="24"/>
          <w:szCs w:val="24"/>
          <w:lang w:val="en-CA"/>
        </w:rPr>
        <w:t xml:space="preserve"> across many developed countries including</w:t>
      </w:r>
      <w:r w:rsidR="004C4E40" w:rsidRPr="00533683">
        <w:rPr>
          <w:sz w:val="24"/>
          <w:szCs w:val="24"/>
          <w:lang w:val="en-CA"/>
        </w:rPr>
        <w:t xml:space="preserve"> in Canada, the U.S. and the U.K., the global outlook for an economic recovery is improving, although there will undoubtedly be some volatility along the way</w:t>
      </w:r>
      <w:r w:rsidR="00E5740F" w:rsidRPr="00533683">
        <w:rPr>
          <w:sz w:val="24"/>
          <w:szCs w:val="24"/>
          <w:lang w:val="en-CA"/>
        </w:rPr>
        <w:t>.</w:t>
      </w:r>
    </w:p>
    <w:p w14:paraId="08C85B65" w14:textId="6E0A6BE8" w:rsidR="00D71AAA" w:rsidRPr="00533683" w:rsidRDefault="00D71AAA" w:rsidP="00253656">
      <w:pPr>
        <w:rPr>
          <w:b/>
          <w:bCs/>
          <w:sz w:val="24"/>
          <w:szCs w:val="24"/>
          <w:lang w:val="en-CA"/>
        </w:rPr>
      </w:pPr>
      <w:r w:rsidRPr="00533683">
        <w:rPr>
          <w:b/>
          <w:bCs/>
          <w:sz w:val="24"/>
          <w:szCs w:val="24"/>
          <w:lang w:val="en-CA"/>
        </w:rPr>
        <w:t>Capital markets in the fourth quarter</w:t>
      </w:r>
    </w:p>
    <w:p w14:paraId="6BE7D106" w14:textId="1AC75ABE" w:rsidR="009667DF" w:rsidRPr="00533683" w:rsidRDefault="009667DF" w:rsidP="00253656">
      <w:pPr>
        <w:rPr>
          <w:sz w:val="24"/>
          <w:szCs w:val="24"/>
          <w:lang w:val="en-CA"/>
        </w:rPr>
      </w:pPr>
      <w:r w:rsidRPr="00533683">
        <w:rPr>
          <w:sz w:val="24"/>
          <w:szCs w:val="24"/>
          <w:lang w:val="en-CA"/>
        </w:rPr>
        <w:t xml:space="preserve">The S&amp;P 500 Index experienced a pullback due to uncertainty in the days </w:t>
      </w:r>
      <w:r w:rsidR="00690D7A" w:rsidRPr="00533683">
        <w:rPr>
          <w:sz w:val="24"/>
          <w:szCs w:val="24"/>
          <w:lang w:val="en-CA"/>
        </w:rPr>
        <w:t xml:space="preserve">leading up </w:t>
      </w:r>
      <w:r w:rsidRPr="00533683">
        <w:rPr>
          <w:sz w:val="24"/>
          <w:szCs w:val="24"/>
          <w:lang w:val="en-CA"/>
        </w:rPr>
        <w:t xml:space="preserve">to the U.S. election but </w:t>
      </w:r>
      <w:r w:rsidR="00974DF7" w:rsidRPr="00533683">
        <w:rPr>
          <w:sz w:val="24"/>
          <w:szCs w:val="24"/>
          <w:lang w:val="en-CA"/>
        </w:rPr>
        <w:t>soared</w:t>
      </w:r>
      <w:r w:rsidRPr="00533683">
        <w:rPr>
          <w:sz w:val="24"/>
          <w:szCs w:val="24"/>
          <w:lang w:val="en-CA"/>
        </w:rPr>
        <w:t xml:space="preserve"> in the weeks that followed</w:t>
      </w:r>
      <w:r w:rsidR="00974DF7" w:rsidRPr="00533683">
        <w:rPr>
          <w:sz w:val="24"/>
          <w:szCs w:val="24"/>
          <w:lang w:val="en-CA"/>
        </w:rPr>
        <w:t xml:space="preserve">, driven by the energy and financials sectors, </w:t>
      </w:r>
      <w:r w:rsidR="005510C1" w:rsidRPr="00533683">
        <w:rPr>
          <w:sz w:val="24"/>
          <w:szCs w:val="24"/>
          <w:lang w:val="en-CA"/>
        </w:rPr>
        <w:t>to end</w:t>
      </w:r>
      <w:r w:rsidR="000A130E" w:rsidRPr="00533683">
        <w:rPr>
          <w:sz w:val="24"/>
          <w:szCs w:val="24"/>
          <w:lang w:val="en-CA"/>
        </w:rPr>
        <w:t xml:space="preserve"> the year at </w:t>
      </w:r>
      <w:r w:rsidR="00952844" w:rsidRPr="00533683">
        <w:rPr>
          <w:sz w:val="24"/>
          <w:szCs w:val="24"/>
          <w:lang w:val="en-CA"/>
        </w:rPr>
        <w:t xml:space="preserve">a </w:t>
      </w:r>
      <w:r w:rsidR="00974DF7" w:rsidRPr="00533683">
        <w:rPr>
          <w:sz w:val="24"/>
          <w:szCs w:val="24"/>
          <w:lang w:val="en-CA"/>
        </w:rPr>
        <w:t>new</w:t>
      </w:r>
      <w:r w:rsidR="00952844" w:rsidRPr="00533683">
        <w:rPr>
          <w:sz w:val="24"/>
          <w:szCs w:val="24"/>
          <w:lang w:val="en-CA"/>
        </w:rPr>
        <w:t xml:space="preserve"> all-time high</w:t>
      </w:r>
      <w:r w:rsidRPr="00533683">
        <w:rPr>
          <w:sz w:val="24"/>
          <w:szCs w:val="24"/>
          <w:lang w:val="en-CA"/>
        </w:rPr>
        <w:t xml:space="preserve">. </w:t>
      </w:r>
      <w:r w:rsidR="00890515" w:rsidRPr="00533683">
        <w:rPr>
          <w:sz w:val="24"/>
          <w:szCs w:val="24"/>
          <w:lang w:val="en-CA"/>
        </w:rPr>
        <w:t>The</w:t>
      </w:r>
      <w:r w:rsidRPr="00533683">
        <w:rPr>
          <w:sz w:val="24"/>
          <w:szCs w:val="24"/>
          <w:lang w:val="en-CA"/>
        </w:rPr>
        <w:t xml:space="preserve"> U.S. index </w:t>
      </w:r>
      <w:r w:rsidR="00890515" w:rsidRPr="00533683">
        <w:rPr>
          <w:sz w:val="24"/>
          <w:szCs w:val="24"/>
          <w:lang w:val="en-CA"/>
        </w:rPr>
        <w:t>was up 7.1</w:t>
      </w:r>
      <w:r w:rsidR="00E5740F" w:rsidRPr="00533683">
        <w:rPr>
          <w:sz w:val="24"/>
          <w:szCs w:val="24"/>
          <w:lang w:val="en-CA"/>
        </w:rPr>
        <w:t>%</w:t>
      </w:r>
      <w:r w:rsidRPr="00533683">
        <w:rPr>
          <w:sz w:val="24"/>
          <w:szCs w:val="24"/>
          <w:lang w:val="en-CA"/>
        </w:rPr>
        <w:t xml:space="preserve"> for the </w:t>
      </w:r>
      <w:r w:rsidR="00253656" w:rsidRPr="00533683">
        <w:rPr>
          <w:sz w:val="24"/>
          <w:szCs w:val="24"/>
          <w:lang w:val="en-CA"/>
        </w:rPr>
        <w:t xml:space="preserve">fourth </w:t>
      </w:r>
      <w:r w:rsidRPr="00533683">
        <w:rPr>
          <w:sz w:val="24"/>
          <w:szCs w:val="24"/>
          <w:lang w:val="en-CA"/>
        </w:rPr>
        <w:t xml:space="preserve">quarter and </w:t>
      </w:r>
      <w:r w:rsidR="00890515" w:rsidRPr="00533683">
        <w:rPr>
          <w:sz w:val="24"/>
          <w:szCs w:val="24"/>
          <w:lang w:val="en-CA"/>
        </w:rPr>
        <w:t>16.1</w:t>
      </w:r>
      <w:r w:rsidR="00D86626" w:rsidRPr="00533683">
        <w:rPr>
          <w:sz w:val="24"/>
          <w:szCs w:val="24"/>
          <w:lang w:val="en-CA"/>
        </w:rPr>
        <w:t>%</w:t>
      </w:r>
      <w:r w:rsidRPr="00533683">
        <w:rPr>
          <w:sz w:val="24"/>
          <w:szCs w:val="24"/>
          <w:lang w:val="en-CA"/>
        </w:rPr>
        <w:t xml:space="preserve"> for the year in Canadian</w:t>
      </w:r>
      <w:r w:rsidR="00AE552B" w:rsidRPr="00533683">
        <w:rPr>
          <w:sz w:val="24"/>
          <w:szCs w:val="24"/>
          <w:lang w:val="en-CA"/>
        </w:rPr>
        <w:t>-</w:t>
      </w:r>
      <w:r w:rsidRPr="00533683">
        <w:rPr>
          <w:sz w:val="24"/>
          <w:szCs w:val="24"/>
          <w:lang w:val="en-CA"/>
        </w:rPr>
        <w:t xml:space="preserve">dollar terms. The MSCI World Index, which reflects returns for developed equity markets around the globe, was up </w:t>
      </w:r>
      <w:r w:rsidR="004919C0" w:rsidRPr="00533683">
        <w:rPr>
          <w:sz w:val="24"/>
          <w:szCs w:val="24"/>
          <w:lang w:val="en-CA"/>
        </w:rPr>
        <w:t>9.0</w:t>
      </w:r>
      <w:r w:rsidR="00D86626" w:rsidRPr="00533683">
        <w:rPr>
          <w:sz w:val="24"/>
          <w:szCs w:val="24"/>
          <w:lang w:val="en-CA"/>
        </w:rPr>
        <w:t>%</w:t>
      </w:r>
      <w:r w:rsidRPr="00533683">
        <w:rPr>
          <w:sz w:val="24"/>
          <w:szCs w:val="24"/>
          <w:lang w:val="en-CA"/>
        </w:rPr>
        <w:t xml:space="preserve"> for the quarter and </w:t>
      </w:r>
      <w:r w:rsidR="00890515" w:rsidRPr="00533683">
        <w:rPr>
          <w:sz w:val="24"/>
          <w:szCs w:val="24"/>
          <w:lang w:val="en-CA"/>
        </w:rPr>
        <w:t>13.6</w:t>
      </w:r>
      <w:r w:rsidR="00D86626" w:rsidRPr="00533683">
        <w:rPr>
          <w:sz w:val="24"/>
          <w:szCs w:val="24"/>
          <w:lang w:val="en-CA"/>
        </w:rPr>
        <w:t>%</w:t>
      </w:r>
      <w:r w:rsidRPr="00533683">
        <w:rPr>
          <w:sz w:val="24"/>
          <w:szCs w:val="24"/>
          <w:lang w:val="en-CA"/>
        </w:rPr>
        <w:t xml:space="preserve"> for the year.  </w:t>
      </w:r>
    </w:p>
    <w:p w14:paraId="5FB30717" w14:textId="167873C7" w:rsidR="00D71AAA" w:rsidRPr="00533683" w:rsidRDefault="009667DF" w:rsidP="00253656">
      <w:pPr>
        <w:rPr>
          <w:sz w:val="24"/>
          <w:szCs w:val="24"/>
          <w:lang w:val="en-CA"/>
        </w:rPr>
      </w:pPr>
      <w:r w:rsidRPr="00533683">
        <w:rPr>
          <w:sz w:val="24"/>
          <w:szCs w:val="24"/>
          <w:lang w:val="en-CA"/>
        </w:rPr>
        <w:t>The Canadian economy was boosted by stronger demand for energy and higher oil prices</w:t>
      </w:r>
      <w:r w:rsidR="00690D7A" w:rsidRPr="00533683">
        <w:rPr>
          <w:sz w:val="24"/>
          <w:szCs w:val="24"/>
          <w:lang w:val="en-CA"/>
        </w:rPr>
        <w:t xml:space="preserve"> in the fourth quarter</w:t>
      </w:r>
      <w:r w:rsidRPr="00533683">
        <w:rPr>
          <w:sz w:val="24"/>
          <w:szCs w:val="24"/>
          <w:lang w:val="en-CA"/>
        </w:rPr>
        <w:t xml:space="preserve">, along with the approval of Pfizer’s COVID-19 vaccine. While the S&amp;P/TSX Composite Index has moved upward since its pandemic-induced low in March, the Canadian benchmark has yet to return to the record level reached in February. </w:t>
      </w:r>
      <w:r w:rsidR="004919C0" w:rsidRPr="00533683">
        <w:rPr>
          <w:sz w:val="24"/>
          <w:szCs w:val="24"/>
          <w:lang w:val="en-CA"/>
        </w:rPr>
        <w:t>T</w:t>
      </w:r>
      <w:r w:rsidRPr="00533683">
        <w:rPr>
          <w:sz w:val="24"/>
          <w:szCs w:val="24"/>
          <w:lang w:val="en-CA"/>
        </w:rPr>
        <w:t xml:space="preserve">he index </w:t>
      </w:r>
      <w:r w:rsidR="00253656" w:rsidRPr="00533683">
        <w:rPr>
          <w:sz w:val="24"/>
          <w:szCs w:val="24"/>
          <w:lang w:val="en-CA"/>
        </w:rPr>
        <w:t>posted a gain of</w:t>
      </w:r>
      <w:r w:rsidRPr="00533683">
        <w:rPr>
          <w:sz w:val="24"/>
          <w:szCs w:val="24"/>
          <w:lang w:val="en-CA"/>
        </w:rPr>
        <w:t xml:space="preserve"> </w:t>
      </w:r>
      <w:r w:rsidR="00D86626" w:rsidRPr="00533683">
        <w:rPr>
          <w:sz w:val="24"/>
          <w:szCs w:val="24"/>
          <w:lang w:val="en-CA"/>
        </w:rPr>
        <w:t>9.5%</w:t>
      </w:r>
      <w:r w:rsidRPr="00533683">
        <w:rPr>
          <w:sz w:val="24"/>
          <w:szCs w:val="24"/>
          <w:lang w:val="en-CA"/>
        </w:rPr>
        <w:t xml:space="preserve"> for the quarter and </w:t>
      </w:r>
      <w:r w:rsidR="004919C0" w:rsidRPr="00533683">
        <w:rPr>
          <w:sz w:val="24"/>
          <w:szCs w:val="24"/>
          <w:lang w:val="en-CA"/>
        </w:rPr>
        <w:t>5.6</w:t>
      </w:r>
      <w:r w:rsidR="00D86626" w:rsidRPr="00533683">
        <w:rPr>
          <w:sz w:val="24"/>
          <w:szCs w:val="24"/>
          <w:lang w:val="en-CA"/>
        </w:rPr>
        <w:t>%</w:t>
      </w:r>
      <w:r w:rsidRPr="00533683">
        <w:rPr>
          <w:sz w:val="24"/>
          <w:szCs w:val="24"/>
          <w:lang w:val="en-CA"/>
        </w:rPr>
        <w:t xml:space="preserve"> for the year</w:t>
      </w:r>
      <w:r w:rsidR="008405EF" w:rsidRPr="00533683">
        <w:rPr>
          <w:sz w:val="24"/>
          <w:szCs w:val="24"/>
          <w:lang w:val="en-CA"/>
        </w:rPr>
        <w:t>-</w:t>
      </w:r>
      <w:r w:rsidRPr="00533683">
        <w:rPr>
          <w:sz w:val="24"/>
          <w:szCs w:val="24"/>
          <w:lang w:val="en-CA"/>
        </w:rPr>
        <w:t>to</w:t>
      </w:r>
      <w:r w:rsidR="008405EF" w:rsidRPr="00533683">
        <w:rPr>
          <w:sz w:val="24"/>
          <w:szCs w:val="24"/>
          <w:lang w:val="en-CA"/>
        </w:rPr>
        <w:t>-</w:t>
      </w:r>
      <w:r w:rsidRPr="00533683">
        <w:rPr>
          <w:sz w:val="24"/>
          <w:szCs w:val="24"/>
          <w:lang w:val="en-CA"/>
        </w:rPr>
        <w:t xml:space="preserve">date. </w:t>
      </w:r>
    </w:p>
    <w:p w14:paraId="4C7F69A4" w14:textId="2335E15E" w:rsidR="009667DF" w:rsidRPr="00533683" w:rsidRDefault="009667DF" w:rsidP="00253656">
      <w:pPr>
        <w:rPr>
          <w:sz w:val="24"/>
          <w:szCs w:val="24"/>
          <w:lang w:val="en-CA"/>
        </w:rPr>
      </w:pPr>
      <w:r w:rsidRPr="00533683">
        <w:rPr>
          <w:sz w:val="24"/>
          <w:szCs w:val="24"/>
          <w:lang w:val="en-CA"/>
        </w:rPr>
        <w:t>Interest rates remained unchanged in Canada, the U.S. and Europe</w:t>
      </w:r>
      <w:r w:rsidR="00253656" w:rsidRPr="00533683">
        <w:rPr>
          <w:sz w:val="24"/>
          <w:szCs w:val="24"/>
          <w:lang w:val="en-CA"/>
        </w:rPr>
        <w:t xml:space="preserve"> during the final three-month period of the year</w:t>
      </w:r>
      <w:r w:rsidRPr="00533683">
        <w:rPr>
          <w:sz w:val="24"/>
          <w:szCs w:val="24"/>
          <w:lang w:val="en-CA"/>
        </w:rPr>
        <w:t xml:space="preserve">. In December, the Bank of Canada held its benchmark interest rate steady at 0.25% after cutting rates in March in response to the COVID-19 pandemic. The Bank of Canada reiterated it will continue to buy Government of Canada bonds at a rate of about $4 billion per week to keep downward pressure on interest rates, and restated that it would keep the </w:t>
      </w:r>
      <w:r w:rsidRPr="00533683">
        <w:rPr>
          <w:sz w:val="24"/>
          <w:szCs w:val="24"/>
          <w:lang w:val="en-CA"/>
        </w:rPr>
        <w:lastRenderedPageBreak/>
        <w:t>benchmark lending rate near zero until sometime in 2023. The U.S. Federal Reserve</w:t>
      </w:r>
      <w:r w:rsidR="009659C1" w:rsidRPr="00533683">
        <w:rPr>
          <w:sz w:val="24"/>
          <w:szCs w:val="24"/>
          <w:lang w:val="en-CA"/>
        </w:rPr>
        <w:t xml:space="preserve"> </w:t>
      </w:r>
      <w:r w:rsidRPr="00533683">
        <w:rPr>
          <w:sz w:val="24"/>
          <w:szCs w:val="24"/>
          <w:lang w:val="en-CA"/>
        </w:rPr>
        <w:t>maintained its target for the federal funds rate at a range of 0% to 0.25%</w:t>
      </w:r>
      <w:r w:rsidR="001D4FC0" w:rsidRPr="00533683">
        <w:rPr>
          <w:sz w:val="24"/>
          <w:szCs w:val="24"/>
          <w:lang w:val="en-CA"/>
        </w:rPr>
        <w:t>. T</w:t>
      </w:r>
      <w:r w:rsidR="009659C1" w:rsidRPr="00533683">
        <w:rPr>
          <w:sz w:val="24"/>
          <w:szCs w:val="24"/>
          <w:lang w:val="en-CA"/>
        </w:rPr>
        <w:t xml:space="preserve">he </w:t>
      </w:r>
      <w:r w:rsidR="001D4FC0" w:rsidRPr="00533683">
        <w:rPr>
          <w:sz w:val="24"/>
          <w:szCs w:val="24"/>
          <w:lang w:val="en-CA"/>
        </w:rPr>
        <w:t>European Central Bank</w:t>
      </w:r>
      <w:r w:rsidR="009659C1" w:rsidRPr="00533683">
        <w:rPr>
          <w:sz w:val="24"/>
          <w:szCs w:val="24"/>
          <w:lang w:val="en-CA"/>
        </w:rPr>
        <w:t xml:space="preserve"> </w:t>
      </w:r>
      <w:r w:rsidRPr="00533683">
        <w:rPr>
          <w:sz w:val="24"/>
          <w:szCs w:val="24"/>
          <w:lang w:val="en-CA"/>
        </w:rPr>
        <w:t>held interest rates on its main refinancing operations, marginal lending facility and key deposit rate at 0.00%, 0.25% and -0.50%, respectively</w:t>
      </w:r>
      <w:r w:rsidR="001D4FC0" w:rsidRPr="00533683">
        <w:rPr>
          <w:sz w:val="24"/>
          <w:szCs w:val="24"/>
          <w:lang w:val="en-CA"/>
        </w:rPr>
        <w:t xml:space="preserve"> </w:t>
      </w:r>
      <w:proofErr w:type="gramStart"/>
      <w:r w:rsidR="001D4FC0" w:rsidRPr="00533683">
        <w:rPr>
          <w:sz w:val="24"/>
          <w:szCs w:val="24"/>
          <w:lang w:val="en-CA"/>
        </w:rPr>
        <w:t>and also</w:t>
      </w:r>
      <w:proofErr w:type="gramEnd"/>
      <w:r w:rsidR="001D4FC0" w:rsidRPr="00533683">
        <w:rPr>
          <w:sz w:val="24"/>
          <w:szCs w:val="24"/>
          <w:lang w:val="en-CA"/>
        </w:rPr>
        <w:t xml:space="preserve"> expanded its monetary stimulus program</w:t>
      </w:r>
      <w:r w:rsidRPr="00533683">
        <w:rPr>
          <w:sz w:val="24"/>
          <w:szCs w:val="24"/>
          <w:lang w:val="en-CA"/>
        </w:rPr>
        <w:t>.</w:t>
      </w:r>
    </w:p>
    <w:p w14:paraId="203E742D" w14:textId="77777777" w:rsidR="00C9578E" w:rsidRPr="00533683" w:rsidRDefault="00C9578E" w:rsidP="00253656">
      <w:pPr>
        <w:rPr>
          <w:b/>
          <w:bCs/>
          <w:sz w:val="24"/>
          <w:szCs w:val="24"/>
          <w:lang w:val="en-CA"/>
        </w:rPr>
      </w:pPr>
      <w:r w:rsidRPr="00533683">
        <w:rPr>
          <w:b/>
          <w:bCs/>
          <w:sz w:val="24"/>
          <w:szCs w:val="24"/>
          <w:lang w:val="en-CA"/>
        </w:rPr>
        <w:t>What can we expect now?</w:t>
      </w:r>
    </w:p>
    <w:p w14:paraId="27D14B69" w14:textId="3D1A0C04" w:rsidR="00D71AAA" w:rsidRPr="00533683" w:rsidRDefault="00F83499" w:rsidP="00253656">
      <w:pPr>
        <w:rPr>
          <w:sz w:val="24"/>
          <w:szCs w:val="24"/>
          <w:lang w:val="en-CA"/>
        </w:rPr>
      </w:pPr>
      <w:r w:rsidRPr="00533683">
        <w:rPr>
          <w:sz w:val="24"/>
          <w:szCs w:val="24"/>
          <w:lang w:val="en-CA"/>
        </w:rPr>
        <w:t>The events of 2020 have shown us how unpredictable markets, and life</w:t>
      </w:r>
      <w:r w:rsidR="006D2F30" w:rsidRPr="00533683">
        <w:rPr>
          <w:sz w:val="24"/>
          <w:szCs w:val="24"/>
          <w:lang w:val="en-CA"/>
        </w:rPr>
        <w:t xml:space="preserve"> in general</w:t>
      </w:r>
      <w:r w:rsidRPr="00533683">
        <w:rPr>
          <w:sz w:val="24"/>
          <w:szCs w:val="24"/>
          <w:lang w:val="en-CA"/>
        </w:rPr>
        <w:t xml:space="preserve">, can be. At the beginning of the year, no one could have predicted a global pandemic </w:t>
      </w:r>
      <w:r w:rsidR="006D2F30" w:rsidRPr="00533683">
        <w:rPr>
          <w:sz w:val="24"/>
          <w:szCs w:val="24"/>
          <w:lang w:val="en-CA"/>
        </w:rPr>
        <w:t xml:space="preserve">unfolding, or that </w:t>
      </w:r>
      <w:r w:rsidRPr="00533683">
        <w:rPr>
          <w:sz w:val="24"/>
          <w:szCs w:val="24"/>
          <w:lang w:val="en-CA"/>
        </w:rPr>
        <w:t>markets would</w:t>
      </w:r>
      <w:r w:rsidR="006D2F30" w:rsidRPr="00533683">
        <w:rPr>
          <w:sz w:val="24"/>
          <w:szCs w:val="24"/>
          <w:lang w:val="en-CA"/>
        </w:rPr>
        <w:t xml:space="preserve"> plummet </w:t>
      </w:r>
      <w:r w:rsidR="008A33FB" w:rsidRPr="00533683">
        <w:rPr>
          <w:sz w:val="24"/>
          <w:szCs w:val="24"/>
          <w:lang w:val="en-CA"/>
        </w:rPr>
        <w:t>only to</w:t>
      </w:r>
      <w:r w:rsidRPr="00533683">
        <w:rPr>
          <w:sz w:val="24"/>
          <w:szCs w:val="24"/>
          <w:lang w:val="en-CA"/>
        </w:rPr>
        <w:t xml:space="preserve"> recover in record time</w:t>
      </w:r>
      <w:r w:rsidR="006D2F30" w:rsidRPr="00533683">
        <w:rPr>
          <w:sz w:val="24"/>
          <w:szCs w:val="24"/>
          <w:lang w:val="en-CA"/>
        </w:rPr>
        <w:t xml:space="preserve">, or </w:t>
      </w:r>
      <w:r w:rsidR="000D371E" w:rsidRPr="00533683">
        <w:rPr>
          <w:sz w:val="24"/>
          <w:szCs w:val="24"/>
          <w:lang w:val="en-CA"/>
        </w:rPr>
        <w:t xml:space="preserve">even </w:t>
      </w:r>
      <w:r w:rsidR="006D2F30" w:rsidRPr="00533683">
        <w:rPr>
          <w:sz w:val="24"/>
          <w:szCs w:val="24"/>
          <w:lang w:val="en-CA"/>
        </w:rPr>
        <w:t xml:space="preserve">that the best-performing stocks would be those that </w:t>
      </w:r>
      <w:r w:rsidR="008A33FB" w:rsidRPr="00533683">
        <w:rPr>
          <w:sz w:val="24"/>
          <w:szCs w:val="24"/>
          <w:lang w:val="en-CA"/>
        </w:rPr>
        <w:t>enabled</w:t>
      </w:r>
      <w:r w:rsidR="006D2F30" w:rsidRPr="00533683">
        <w:rPr>
          <w:sz w:val="24"/>
          <w:szCs w:val="24"/>
          <w:lang w:val="en-CA"/>
        </w:rPr>
        <w:t xml:space="preserve"> work-from-home and e-commerce.</w:t>
      </w:r>
    </w:p>
    <w:p w14:paraId="7020ED85" w14:textId="16FBAA35" w:rsidR="009828AC" w:rsidRPr="00533683" w:rsidRDefault="009828AC" w:rsidP="00253656">
      <w:pPr>
        <w:rPr>
          <w:sz w:val="24"/>
          <w:szCs w:val="24"/>
          <w:lang w:val="en-CA"/>
        </w:rPr>
      </w:pPr>
      <w:r w:rsidRPr="00533683">
        <w:rPr>
          <w:sz w:val="24"/>
          <w:szCs w:val="24"/>
          <w:lang w:val="en-CA"/>
        </w:rPr>
        <w:t xml:space="preserve">One of the best ways to protect your portfolio from the unexpected is diversification. We have worked together to broadly diversify your investments and ensure that </w:t>
      </w:r>
      <w:proofErr w:type="gramStart"/>
      <w:r w:rsidRPr="00533683">
        <w:rPr>
          <w:sz w:val="24"/>
          <w:szCs w:val="24"/>
          <w:lang w:val="en-CA"/>
        </w:rPr>
        <w:t>all of</w:t>
      </w:r>
      <w:proofErr w:type="gramEnd"/>
      <w:r w:rsidRPr="00533683">
        <w:rPr>
          <w:sz w:val="24"/>
          <w:szCs w:val="24"/>
          <w:lang w:val="en-CA"/>
        </w:rPr>
        <w:t xml:space="preserve"> your eggs aren’t in one basket.</w:t>
      </w:r>
      <w:r w:rsidR="00113145" w:rsidRPr="00533683">
        <w:rPr>
          <w:sz w:val="24"/>
          <w:szCs w:val="24"/>
          <w:lang w:val="en-CA"/>
        </w:rPr>
        <w:t xml:space="preserve"> It’s also important to </w:t>
      </w:r>
      <w:r w:rsidR="00C9578E" w:rsidRPr="00533683">
        <w:rPr>
          <w:sz w:val="24"/>
          <w:szCs w:val="24"/>
          <w:lang w:val="en-CA"/>
        </w:rPr>
        <w:t>stay invested</w:t>
      </w:r>
      <w:r w:rsidR="00113145" w:rsidRPr="00533683">
        <w:rPr>
          <w:sz w:val="24"/>
          <w:szCs w:val="24"/>
          <w:lang w:val="en-CA"/>
        </w:rPr>
        <w:t>. Those that sold their investments after markets plummeted in March would have locked in losses while those that stayed invested would likely have been rewarded for their patience when markets recovered later in the year.</w:t>
      </w:r>
    </w:p>
    <w:p w14:paraId="28CC8CBD" w14:textId="6D3E6619" w:rsidR="009828AC" w:rsidRPr="00533683" w:rsidRDefault="009828AC" w:rsidP="00253656">
      <w:pPr>
        <w:rPr>
          <w:sz w:val="24"/>
          <w:szCs w:val="24"/>
          <w:lang w:val="en-CA"/>
        </w:rPr>
      </w:pPr>
      <w:r w:rsidRPr="00533683">
        <w:rPr>
          <w:sz w:val="24"/>
          <w:szCs w:val="24"/>
          <w:lang w:val="en-CA"/>
        </w:rPr>
        <w:t xml:space="preserve">Looking ahead, </w:t>
      </w:r>
      <w:r w:rsidR="00113145" w:rsidRPr="00533683">
        <w:rPr>
          <w:sz w:val="24"/>
          <w:szCs w:val="24"/>
          <w:lang w:val="en-CA"/>
        </w:rPr>
        <w:t>the pandemic will continue to impact markets in the coming months as vaccine distribution gets underway</w:t>
      </w:r>
      <w:r w:rsidR="00C9578E" w:rsidRPr="00533683">
        <w:rPr>
          <w:sz w:val="24"/>
          <w:szCs w:val="24"/>
          <w:lang w:val="en-CA"/>
        </w:rPr>
        <w:t>. A</w:t>
      </w:r>
      <w:r w:rsidR="00113145" w:rsidRPr="00533683">
        <w:rPr>
          <w:sz w:val="24"/>
          <w:szCs w:val="24"/>
          <w:lang w:val="en-CA"/>
        </w:rPr>
        <w:t>ccommodative fiscal and monetary policies from central banks around the world are also expected to continue for some time.</w:t>
      </w:r>
    </w:p>
    <w:p w14:paraId="1CA96FB4" w14:textId="2144C3D4" w:rsidR="00D71AAA" w:rsidRPr="00533683" w:rsidRDefault="002202D3" w:rsidP="00253656">
      <w:pPr>
        <w:rPr>
          <w:rFonts w:cs="Arial"/>
          <w:sz w:val="24"/>
          <w:szCs w:val="24"/>
          <w:lang w:val="en-CA"/>
        </w:rPr>
      </w:pPr>
      <w:r w:rsidRPr="00533683">
        <w:rPr>
          <w:rFonts w:cs="Arial"/>
          <w:sz w:val="24"/>
          <w:szCs w:val="24"/>
          <w:lang w:val="en-CA"/>
        </w:rPr>
        <w:t>I would like to wish you and your family a happy and hea</w:t>
      </w:r>
      <w:r w:rsidR="008A33FB" w:rsidRPr="00533683">
        <w:rPr>
          <w:rFonts w:cs="Arial"/>
          <w:sz w:val="24"/>
          <w:szCs w:val="24"/>
          <w:lang w:val="en-CA"/>
        </w:rPr>
        <w:t>l</w:t>
      </w:r>
      <w:r w:rsidRPr="00533683">
        <w:rPr>
          <w:rFonts w:cs="Arial"/>
          <w:sz w:val="24"/>
          <w:szCs w:val="24"/>
          <w:lang w:val="en-CA"/>
        </w:rPr>
        <w:t xml:space="preserve">thy new year. </w:t>
      </w:r>
      <w:r w:rsidR="002176D6" w:rsidRPr="00533683">
        <w:rPr>
          <w:rFonts w:cs="Arial"/>
          <w:sz w:val="24"/>
          <w:szCs w:val="24"/>
          <w:lang w:val="en-CA"/>
        </w:rPr>
        <w:t xml:space="preserve">I would also like to thank to you for your continued trust in me and for the opportunity to assist you in working toward your financial goals. </w:t>
      </w:r>
      <w:r w:rsidRPr="00533683">
        <w:rPr>
          <w:rFonts w:cs="Arial"/>
          <w:sz w:val="24"/>
          <w:szCs w:val="24"/>
          <w:lang w:val="en-CA"/>
        </w:rPr>
        <w:t>M</w:t>
      </w:r>
      <w:r w:rsidR="00D71AAA" w:rsidRPr="00533683">
        <w:rPr>
          <w:rFonts w:cs="Arial"/>
          <w:sz w:val="24"/>
          <w:szCs w:val="24"/>
          <w:lang w:val="en-CA"/>
        </w:rPr>
        <w:t>y team and I are here to help. Should you have any questions regarding your portfolio, please do not hesitate to contact my office.</w:t>
      </w:r>
    </w:p>
    <w:p w14:paraId="48C98EE7" w14:textId="77777777" w:rsidR="00D71AAA" w:rsidRPr="00533683" w:rsidRDefault="00D71AAA" w:rsidP="00253656">
      <w:pPr>
        <w:rPr>
          <w:rFonts w:cs="Arial"/>
          <w:sz w:val="24"/>
          <w:szCs w:val="24"/>
          <w:lang w:val="en-CA"/>
        </w:rPr>
      </w:pPr>
      <w:r w:rsidRPr="00533683">
        <w:rPr>
          <w:rFonts w:cs="Arial"/>
          <w:sz w:val="24"/>
          <w:szCs w:val="24"/>
          <w:lang w:val="en-CA"/>
        </w:rPr>
        <w:t>Sincerely,</w:t>
      </w:r>
    </w:p>
    <w:p w14:paraId="6BBE6D71" w14:textId="77777777" w:rsidR="00D71AAA" w:rsidRPr="00533683" w:rsidRDefault="00D71AAA" w:rsidP="00253656">
      <w:pPr>
        <w:rPr>
          <w:rFonts w:cs="Arial"/>
          <w:sz w:val="24"/>
          <w:szCs w:val="24"/>
          <w:lang w:val="en-CA"/>
        </w:rPr>
      </w:pPr>
    </w:p>
    <w:p w14:paraId="1D40A2C7" w14:textId="3B34D0F7" w:rsidR="009667DF" w:rsidRPr="00533683" w:rsidRDefault="00D71AAA" w:rsidP="00253656">
      <w:pPr>
        <w:rPr>
          <w:rFonts w:cs="Arial"/>
          <w:b/>
          <w:bCs/>
          <w:sz w:val="24"/>
          <w:szCs w:val="24"/>
          <w:lang w:val="en-CA"/>
        </w:rPr>
      </w:pPr>
      <w:r w:rsidRPr="00533683">
        <w:rPr>
          <w:rFonts w:cs="Arial"/>
          <w:b/>
          <w:bCs/>
          <w:sz w:val="24"/>
          <w:szCs w:val="24"/>
          <w:lang w:val="en-CA"/>
        </w:rPr>
        <w:t>Financial Advisor</w:t>
      </w:r>
    </w:p>
    <w:bookmarkEnd w:id="0"/>
    <w:p w14:paraId="74415A29" w14:textId="0A2CCD36" w:rsidR="000A130E" w:rsidRPr="00533683" w:rsidRDefault="000A130E" w:rsidP="00253656">
      <w:pPr>
        <w:rPr>
          <w:rFonts w:cs="Arial"/>
          <w:sz w:val="24"/>
          <w:szCs w:val="24"/>
          <w:lang w:val="en-CA"/>
        </w:rPr>
      </w:pPr>
    </w:p>
    <w:p w14:paraId="73C93CE6" w14:textId="0DC923C9" w:rsidR="000A130E" w:rsidRPr="00A75084" w:rsidRDefault="009A1C50" w:rsidP="00253656">
      <w:pPr>
        <w:rPr>
          <w:rFonts w:ascii="Times New Roman" w:hAnsi="Times New Roman" w:cs="Times New Roman"/>
          <w:i/>
          <w:iCs/>
          <w:lang w:val="en-CA"/>
        </w:rPr>
      </w:pPr>
      <w:r w:rsidRPr="009A1C50">
        <w:rPr>
          <w:rFonts w:ascii="Times New Roman" w:hAnsi="Times New Roman" w:cs="Times New Roman"/>
          <w:i/>
          <w:iCs/>
          <w:lang w:val="en-CA"/>
        </w:rPr>
        <w:t xml:space="preserve">The information in this letter is derived from various sources, including CI Global Asset Management, Financial Post, </w:t>
      </w:r>
      <w:r w:rsidR="00210CC2">
        <w:rPr>
          <w:rFonts w:ascii="Times New Roman" w:hAnsi="Times New Roman" w:cs="Times New Roman"/>
          <w:i/>
          <w:iCs/>
          <w:lang w:val="en-CA"/>
        </w:rPr>
        <w:t>CNBC</w:t>
      </w:r>
      <w:r w:rsidRPr="009A1C50">
        <w:rPr>
          <w:rFonts w:ascii="Times New Roman" w:hAnsi="Times New Roman" w:cs="Times New Roman"/>
          <w:i/>
          <w:iCs/>
          <w:lang w:val="en-CA"/>
        </w:rPr>
        <w:t>, Wealth Professional, and Reuters as at various dates. Index information was provided by TD Newcrest and PC Bond, and all quoted equity index returns are on a total return basis (including dividends). This material is provided for general information and is subject to change without notice. Every effort has been made to compile this material from reliable sources and reasonable steps has been taken to ensure their accuracy. Market conditions may change which may impact the information contained in this document. Before acting on any of the above, please contact me for individual financial advice based on your personal circumstances.</w:t>
      </w:r>
    </w:p>
    <w:p w14:paraId="41A1065D" w14:textId="29045A77" w:rsidR="000A130E" w:rsidRPr="00533683" w:rsidRDefault="000A130E" w:rsidP="00D71AAA">
      <w:pPr>
        <w:rPr>
          <w:lang w:val="en-CA"/>
        </w:rPr>
      </w:pPr>
    </w:p>
    <w:sectPr w:rsidR="000A130E" w:rsidRPr="0053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DF"/>
    <w:rsid w:val="00012A14"/>
    <w:rsid w:val="000A130E"/>
    <w:rsid w:val="000D3446"/>
    <w:rsid w:val="000D371E"/>
    <w:rsid w:val="000F03FA"/>
    <w:rsid w:val="00113145"/>
    <w:rsid w:val="0016593D"/>
    <w:rsid w:val="001C2D2C"/>
    <w:rsid w:val="001D4FC0"/>
    <w:rsid w:val="00210CC2"/>
    <w:rsid w:val="002113C6"/>
    <w:rsid w:val="002176D6"/>
    <w:rsid w:val="002202D3"/>
    <w:rsid w:val="00253656"/>
    <w:rsid w:val="003518F1"/>
    <w:rsid w:val="0037728C"/>
    <w:rsid w:val="00380DB1"/>
    <w:rsid w:val="00397CE8"/>
    <w:rsid w:val="003E21DB"/>
    <w:rsid w:val="0043711D"/>
    <w:rsid w:val="00447831"/>
    <w:rsid w:val="004919C0"/>
    <w:rsid w:val="004C4E40"/>
    <w:rsid w:val="004D741E"/>
    <w:rsid w:val="004E48B3"/>
    <w:rsid w:val="00521D5F"/>
    <w:rsid w:val="00533683"/>
    <w:rsid w:val="005510C1"/>
    <w:rsid w:val="00593243"/>
    <w:rsid w:val="005D14CB"/>
    <w:rsid w:val="006129E4"/>
    <w:rsid w:val="0066514A"/>
    <w:rsid w:val="00665739"/>
    <w:rsid w:val="006843B4"/>
    <w:rsid w:val="00690D7A"/>
    <w:rsid w:val="006A01C0"/>
    <w:rsid w:val="006D2F30"/>
    <w:rsid w:val="0078160C"/>
    <w:rsid w:val="008405EF"/>
    <w:rsid w:val="00890515"/>
    <w:rsid w:val="008A0A44"/>
    <w:rsid w:val="008A33FB"/>
    <w:rsid w:val="008D7CFA"/>
    <w:rsid w:val="00952844"/>
    <w:rsid w:val="009572C1"/>
    <w:rsid w:val="009659C1"/>
    <w:rsid w:val="009667DF"/>
    <w:rsid w:val="00974DF7"/>
    <w:rsid w:val="009828AC"/>
    <w:rsid w:val="009A1C50"/>
    <w:rsid w:val="009C280D"/>
    <w:rsid w:val="009E2B94"/>
    <w:rsid w:val="00A25800"/>
    <w:rsid w:val="00A75084"/>
    <w:rsid w:val="00A85FF3"/>
    <w:rsid w:val="00AC45BE"/>
    <w:rsid w:val="00AE552B"/>
    <w:rsid w:val="00B247E0"/>
    <w:rsid w:val="00BD3137"/>
    <w:rsid w:val="00C853CB"/>
    <w:rsid w:val="00C9578E"/>
    <w:rsid w:val="00CD4607"/>
    <w:rsid w:val="00D552FA"/>
    <w:rsid w:val="00D71AAA"/>
    <w:rsid w:val="00D86626"/>
    <w:rsid w:val="00E3207C"/>
    <w:rsid w:val="00E5740F"/>
    <w:rsid w:val="00E82CB7"/>
    <w:rsid w:val="00F83499"/>
    <w:rsid w:val="00FE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B3FD"/>
  <w15:chartTrackingRefBased/>
  <w15:docId w15:val="{5E85A7C2-97CE-40B3-B9C8-9166B014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67DF"/>
    <w:rPr>
      <w:sz w:val="16"/>
      <w:szCs w:val="16"/>
    </w:rPr>
  </w:style>
  <w:style w:type="paragraph" w:styleId="CommentText">
    <w:name w:val="annotation text"/>
    <w:basedOn w:val="Normal"/>
    <w:link w:val="CommentTextChar"/>
    <w:uiPriority w:val="99"/>
    <w:semiHidden/>
    <w:unhideWhenUsed/>
    <w:rsid w:val="009667DF"/>
    <w:pPr>
      <w:spacing w:line="240" w:lineRule="auto"/>
    </w:pPr>
    <w:rPr>
      <w:sz w:val="20"/>
      <w:szCs w:val="20"/>
    </w:rPr>
  </w:style>
  <w:style w:type="character" w:customStyle="1" w:styleId="CommentTextChar">
    <w:name w:val="Comment Text Char"/>
    <w:basedOn w:val="DefaultParagraphFont"/>
    <w:link w:val="CommentText"/>
    <w:uiPriority w:val="99"/>
    <w:semiHidden/>
    <w:rsid w:val="009667DF"/>
    <w:rPr>
      <w:sz w:val="20"/>
      <w:szCs w:val="20"/>
    </w:rPr>
  </w:style>
  <w:style w:type="paragraph" w:styleId="BalloonText">
    <w:name w:val="Balloon Text"/>
    <w:basedOn w:val="Normal"/>
    <w:link w:val="BalloonTextChar"/>
    <w:uiPriority w:val="99"/>
    <w:semiHidden/>
    <w:unhideWhenUsed/>
    <w:rsid w:val="00966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DF"/>
    <w:rPr>
      <w:rFonts w:ascii="Segoe UI" w:hAnsi="Segoe UI" w:cs="Segoe UI"/>
      <w:sz w:val="18"/>
      <w:szCs w:val="18"/>
    </w:rPr>
  </w:style>
  <w:style w:type="paragraph" w:styleId="NormalWeb">
    <w:name w:val="Normal (Web)"/>
    <w:basedOn w:val="Normal"/>
    <w:uiPriority w:val="99"/>
    <w:unhideWhenUsed/>
    <w:rsid w:val="00D71A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130E"/>
    <w:rPr>
      <w:color w:val="0563C1" w:themeColor="hyperlink"/>
      <w:u w:val="single"/>
    </w:rPr>
  </w:style>
  <w:style w:type="character" w:styleId="UnresolvedMention">
    <w:name w:val="Unresolved Mention"/>
    <w:basedOn w:val="DefaultParagraphFont"/>
    <w:uiPriority w:val="99"/>
    <w:semiHidden/>
    <w:unhideWhenUsed/>
    <w:rsid w:val="000A1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2A48-C0B8-43C7-941A-18516635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Jagdeo, Jessica</dc:creator>
  <cp:keywords/>
  <dc:description/>
  <cp:lastModifiedBy>Damji, Aly</cp:lastModifiedBy>
  <cp:revision>2</cp:revision>
  <dcterms:created xsi:type="dcterms:W3CDTF">2021-01-08T14:29:00Z</dcterms:created>
  <dcterms:modified xsi:type="dcterms:W3CDTF">2021-01-08T14:29:00Z</dcterms:modified>
</cp:coreProperties>
</file>