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D2BF5" w14:textId="1A2D44FE" w:rsidR="00D71AAA" w:rsidRPr="00533683" w:rsidRDefault="00193416" w:rsidP="00253656">
      <w:pPr>
        <w:rPr>
          <w:i/>
          <w:iCs/>
          <w:sz w:val="24"/>
          <w:szCs w:val="24"/>
          <w:lang w:val="en-CA"/>
        </w:rPr>
      </w:pPr>
      <w:r>
        <w:rPr>
          <w:i/>
          <w:iCs/>
          <w:sz w:val="24"/>
          <w:szCs w:val="24"/>
          <w:lang w:val="en-CA"/>
        </w:rPr>
        <w:t>First</w:t>
      </w:r>
      <w:r w:rsidR="0078160C" w:rsidRPr="00533683">
        <w:rPr>
          <w:i/>
          <w:iCs/>
          <w:sz w:val="24"/>
          <w:szCs w:val="24"/>
          <w:lang w:val="en-CA"/>
        </w:rPr>
        <w:t xml:space="preserve"> </w:t>
      </w:r>
      <w:r w:rsidR="00D71AAA" w:rsidRPr="00533683">
        <w:rPr>
          <w:i/>
          <w:iCs/>
          <w:sz w:val="24"/>
          <w:szCs w:val="24"/>
          <w:lang w:val="en-CA"/>
        </w:rPr>
        <w:t>Quarter 202</w:t>
      </w:r>
      <w:r>
        <w:rPr>
          <w:i/>
          <w:iCs/>
          <w:sz w:val="24"/>
          <w:szCs w:val="24"/>
          <w:lang w:val="en-CA"/>
        </w:rPr>
        <w:t>1</w:t>
      </w:r>
      <w:r w:rsidR="00D71AAA" w:rsidRPr="00533683">
        <w:rPr>
          <w:i/>
          <w:iCs/>
          <w:sz w:val="24"/>
          <w:szCs w:val="24"/>
          <w:lang w:val="en-CA"/>
        </w:rPr>
        <w:t xml:space="preserve"> client letter template</w:t>
      </w:r>
      <w:r w:rsidR="00FE40BF" w:rsidRPr="00533683">
        <w:rPr>
          <w:i/>
          <w:iCs/>
          <w:sz w:val="24"/>
          <w:szCs w:val="24"/>
          <w:lang w:val="en-CA"/>
        </w:rPr>
        <w:t xml:space="preserve"> (general)</w:t>
      </w:r>
    </w:p>
    <w:p w14:paraId="2269E605" w14:textId="77777777" w:rsidR="00DE0253" w:rsidRPr="00533683" w:rsidRDefault="00DE0253" w:rsidP="00DE0253">
      <w:pPr>
        <w:rPr>
          <w:sz w:val="24"/>
          <w:szCs w:val="24"/>
          <w:lang w:val="en-CA"/>
        </w:rPr>
      </w:pPr>
      <w:bookmarkStart w:id="0" w:name="_Hlk60823323"/>
      <w:bookmarkStart w:id="1" w:name="_GoBack"/>
      <w:bookmarkEnd w:id="1"/>
      <w:r>
        <w:rPr>
          <w:sz w:val="24"/>
          <w:szCs w:val="24"/>
          <w:lang w:val="en-CA"/>
        </w:rPr>
        <w:t>February</w:t>
      </w:r>
      <w:r w:rsidRPr="00533683">
        <w:rPr>
          <w:sz w:val="24"/>
          <w:szCs w:val="24"/>
          <w:lang w:val="en-CA"/>
        </w:rPr>
        <w:t xml:space="preserve"> x, 2021</w:t>
      </w:r>
    </w:p>
    <w:p w14:paraId="53AA0BDB" w14:textId="77777777" w:rsidR="00DE0253" w:rsidRDefault="00DE0253" w:rsidP="00DE0253">
      <w:pPr>
        <w:rPr>
          <w:sz w:val="24"/>
          <w:szCs w:val="24"/>
          <w:lang w:val="en-CA"/>
        </w:rPr>
      </w:pPr>
      <w:r w:rsidRPr="00533683">
        <w:rPr>
          <w:sz w:val="24"/>
          <w:szCs w:val="24"/>
          <w:lang w:val="en-CA"/>
        </w:rPr>
        <w:t>Dear client,</w:t>
      </w:r>
    </w:p>
    <w:p w14:paraId="3D95C52F" w14:textId="77777777" w:rsidR="00DE0253" w:rsidRDefault="00DE0253" w:rsidP="00DE0253">
      <w:pPr>
        <w:rPr>
          <w:sz w:val="24"/>
          <w:szCs w:val="24"/>
          <w:lang w:val="en-CA"/>
        </w:rPr>
      </w:pPr>
      <w:r>
        <w:rPr>
          <w:sz w:val="24"/>
          <w:szCs w:val="24"/>
          <w:lang w:val="en-CA"/>
        </w:rPr>
        <w:t xml:space="preserve">As we move into the second month of 2021, there are still uncertainties about what lies ahead, however, there are some solid reasons for investors to feel optimistic. Vaccines are being shipped out, and around the world, people are rolling up their sleeves to </w:t>
      </w:r>
      <w:r w:rsidRPr="00E63977">
        <w:rPr>
          <w:sz w:val="24"/>
          <w:szCs w:val="24"/>
          <w:lang w:val="en-CA"/>
        </w:rPr>
        <w:t>get the shot</w:t>
      </w:r>
      <w:r>
        <w:rPr>
          <w:sz w:val="24"/>
          <w:szCs w:val="24"/>
          <w:lang w:val="en-CA"/>
        </w:rPr>
        <w:t xml:space="preserve">. The World Bank and International Monetary Fund (IMF) are projecting global economic growth, and Joseph R. Biden was installed as president of the United States. </w:t>
      </w:r>
    </w:p>
    <w:p w14:paraId="35BA7E88" w14:textId="77777777" w:rsidR="00DE0253" w:rsidRDefault="00DE0253" w:rsidP="00DE0253">
      <w:pPr>
        <w:rPr>
          <w:sz w:val="24"/>
          <w:szCs w:val="24"/>
          <w:lang w:val="en-CA"/>
        </w:rPr>
      </w:pPr>
      <w:r w:rsidRPr="00C44199">
        <w:rPr>
          <w:sz w:val="24"/>
          <w:szCs w:val="24"/>
          <w:lang w:val="en-CA"/>
        </w:rPr>
        <w:t xml:space="preserve">It’s been a little more than one year since Canada announced that its first patient, diagnosed with COVID-19, was in a Toronto hospital. A lot has happened since then. </w:t>
      </w:r>
      <w:r>
        <w:rPr>
          <w:sz w:val="24"/>
          <w:szCs w:val="24"/>
          <w:lang w:val="en-CA"/>
        </w:rPr>
        <w:t>While many</w:t>
      </w:r>
      <w:r w:rsidRPr="00C44199">
        <w:rPr>
          <w:sz w:val="24"/>
          <w:szCs w:val="24"/>
          <w:lang w:val="en-CA"/>
        </w:rPr>
        <w:t xml:space="preserve"> Canadians are in lockdown for the second time</w:t>
      </w:r>
      <w:r>
        <w:rPr>
          <w:sz w:val="24"/>
          <w:szCs w:val="24"/>
          <w:lang w:val="en-CA"/>
        </w:rPr>
        <w:t xml:space="preserve">, the end may be in sight. The first wave of vaccinations has taken place, in communities across Canada, and more are scheduled in the coming months. </w:t>
      </w:r>
    </w:p>
    <w:p w14:paraId="4E94F4CE" w14:textId="77777777" w:rsidR="00DE0253" w:rsidRDefault="00DE0253" w:rsidP="00DE0253">
      <w:r>
        <w:rPr>
          <w:sz w:val="24"/>
          <w:szCs w:val="24"/>
          <w:lang w:val="en-CA"/>
        </w:rPr>
        <w:t xml:space="preserve">Annual events are once again being planned for the spring and summer months and people will </w:t>
      </w:r>
      <w:r w:rsidRPr="00DC38B0">
        <w:rPr>
          <w:sz w:val="24"/>
          <w:szCs w:val="24"/>
          <w:lang w:val="en-CA"/>
        </w:rPr>
        <w:t>return to</w:t>
      </w:r>
      <w:r>
        <w:rPr>
          <w:sz w:val="24"/>
          <w:szCs w:val="24"/>
          <w:lang w:val="en-CA"/>
        </w:rPr>
        <w:t xml:space="preserve"> </w:t>
      </w:r>
      <w:r w:rsidRPr="00DC38B0">
        <w:rPr>
          <w:sz w:val="24"/>
          <w:szCs w:val="24"/>
          <w:lang w:val="en-CA"/>
        </w:rPr>
        <w:t xml:space="preserve">the </w:t>
      </w:r>
      <w:r>
        <w:rPr>
          <w:sz w:val="24"/>
          <w:szCs w:val="24"/>
          <w:lang w:val="en-CA"/>
        </w:rPr>
        <w:t xml:space="preserve">leisure activities, </w:t>
      </w:r>
      <w:r w:rsidRPr="00DC38B0">
        <w:rPr>
          <w:sz w:val="24"/>
          <w:szCs w:val="24"/>
          <w:lang w:val="en-CA"/>
        </w:rPr>
        <w:t>they enjoyed pre-pandemic</w:t>
      </w:r>
      <w:r>
        <w:rPr>
          <w:sz w:val="24"/>
          <w:szCs w:val="24"/>
          <w:lang w:val="en-CA"/>
        </w:rPr>
        <w:t>, such as</w:t>
      </w:r>
      <w:r w:rsidRPr="00DC38B0">
        <w:rPr>
          <w:sz w:val="24"/>
          <w:szCs w:val="24"/>
          <w:lang w:val="en-CA"/>
        </w:rPr>
        <w:t xml:space="preserve"> outdoor concerts, </w:t>
      </w:r>
      <w:r>
        <w:rPr>
          <w:sz w:val="24"/>
          <w:szCs w:val="24"/>
          <w:lang w:val="en-CA"/>
        </w:rPr>
        <w:t>live theatre</w:t>
      </w:r>
      <w:r w:rsidRPr="00DC38B0">
        <w:rPr>
          <w:sz w:val="24"/>
          <w:szCs w:val="24"/>
          <w:lang w:val="en-CA"/>
        </w:rPr>
        <w:t xml:space="preserve">, sports events, </w:t>
      </w:r>
      <w:r>
        <w:rPr>
          <w:sz w:val="24"/>
          <w:szCs w:val="24"/>
          <w:lang w:val="en-CA"/>
        </w:rPr>
        <w:t xml:space="preserve">attending </w:t>
      </w:r>
      <w:r w:rsidRPr="00DC38B0">
        <w:rPr>
          <w:sz w:val="24"/>
          <w:szCs w:val="24"/>
          <w:lang w:val="en-CA"/>
        </w:rPr>
        <w:t>conference</w:t>
      </w:r>
      <w:r>
        <w:rPr>
          <w:sz w:val="24"/>
          <w:szCs w:val="24"/>
          <w:lang w:val="en-CA"/>
        </w:rPr>
        <w:t>s</w:t>
      </w:r>
      <w:r w:rsidRPr="00DC38B0">
        <w:rPr>
          <w:sz w:val="24"/>
          <w:szCs w:val="24"/>
          <w:lang w:val="en-CA"/>
        </w:rPr>
        <w:t xml:space="preserve">, and travelling to visit friends. </w:t>
      </w:r>
      <w:r>
        <w:rPr>
          <w:sz w:val="24"/>
          <w:szCs w:val="24"/>
          <w:lang w:val="en-CA"/>
        </w:rPr>
        <w:t xml:space="preserve">This increased activity, and supplemental spending </w:t>
      </w:r>
      <w:r w:rsidRPr="00DC38B0">
        <w:rPr>
          <w:sz w:val="24"/>
          <w:szCs w:val="24"/>
          <w:lang w:val="en-CA"/>
        </w:rPr>
        <w:t xml:space="preserve">will boost </w:t>
      </w:r>
      <w:r>
        <w:rPr>
          <w:sz w:val="24"/>
          <w:szCs w:val="24"/>
          <w:lang w:val="en-CA"/>
        </w:rPr>
        <w:t>the economy, here at home, and in countrie</w:t>
      </w:r>
      <w:r w:rsidRPr="00DC38B0">
        <w:rPr>
          <w:sz w:val="24"/>
          <w:szCs w:val="24"/>
          <w:lang w:val="en-CA"/>
        </w:rPr>
        <w:t xml:space="preserve">s around the world. </w:t>
      </w:r>
      <w:r>
        <w:rPr>
          <w:sz w:val="24"/>
          <w:szCs w:val="24"/>
          <w:lang w:val="en-CA"/>
        </w:rPr>
        <w:t>As businesses were shuttered, and people stayed home much of last year, global spending decreased, and as a result, bank balances increased. It is estimated that going into 2021, A</w:t>
      </w:r>
      <w:r w:rsidRPr="00DC38B0">
        <w:rPr>
          <w:sz w:val="24"/>
          <w:szCs w:val="24"/>
          <w:lang w:val="en-CA"/>
        </w:rPr>
        <w:t>merican</w:t>
      </w:r>
      <w:r>
        <w:rPr>
          <w:sz w:val="24"/>
          <w:szCs w:val="24"/>
          <w:lang w:val="en-CA"/>
        </w:rPr>
        <w:t>s</w:t>
      </w:r>
      <w:r w:rsidRPr="00DC38B0">
        <w:rPr>
          <w:sz w:val="24"/>
          <w:szCs w:val="24"/>
          <w:lang w:val="en-CA"/>
        </w:rPr>
        <w:t xml:space="preserve"> have </w:t>
      </w:r>
      <w:r>
        <w:rPr>
          <w:sz w:val="24"/>
          <w:szCs w:val="24"/>
          <w:lang w:val="en-CA"/>
        </w:rPr>
        <w:t>close to $2 trillion in extra cash saved. As the economy re-opens, spending is expected to surge and that will fuel economic growth.</w:t>
      </w:r>
    </w:p>
    <w:p w14:paraId="43807507" w14:textId="77777777" w:rsidR="00DE0253" w:rsidRDefault="00DE0253" w:rsidP="00DE0253">
      <w:pPr>
        <w:rPr>
          <w:sz w:val="24"/>
          <w:szCs w:val="24"/>
          <w:lang w:val="en-CA"/>
        </w:rPr>
      </w:pPr>
      <w:r>
        <w:rPr>
          <w:sz w:val="24"/>
          <w:szCs w:val="24"/>
          <w:lang w:val="en-CA"/>
        </w:rPr>
        <w:t xml:space="preserve">The World Bank estimates global growth of 4%, and the latest world economic output growth projections, from the IMF, estimate 5.5% in 2021. The IMF project growth in the U.S. to reach 5.1%, 4.2% in the Euro area, 4.5% in the UK and 3.6% in Canada. </w:t>
      </w:r>
    </w:p>
    <w:p w14:paraId="3216607D" w14:textId="77777777" w:rsidR="00DE0253" w:rsidRDefault="00DE0253" w:rsidP="00DE0253">
      <w:pPr>
        <w:rPr>
          <w:sz w:val="24"/>
          <w:szCs w:val="24"/>
          <w:lang w:val="en-CA"/>
        </w:rPr>
      </w:pPr>
      <w:r>
        <w:rPr>
          <w:sz w:val="24"/>
          <w:szCs w:val="24"/>
          <w:lang w:val="en-CA"/>
        </w:rPr>
        <w:t xml:space="preserve">In the United States, on January 27, the Federal Reserve pledged to keep interest rates at its current, near-zero, level until there is a full economic recovery from the pandemic induced recession. In Canada, the governing council of the Bank of Canada reiterated its commitment to keeping policy interest rates, at their lower bound level, to maintain their target 2% rate of inflation.  </w:t>
      </w:r>
    </w:p>
    <w:p w14:paraId="1F80782C" w14:textId="77777777" w:rsidR="00DE0253" w:rsidRDefault="00DE0253" w:rsidP="00DE0253">
      <w:pPr>
        <w:rPr>
          <w:sz w:val="24"/>
          <w:szCs w:val="24"/>
          <w:lang w:val="en-CA"/>
        </w:rPr>
      </w:pPr>
      <w:r>
        <w:rPr>
          <w:sz w:val="24"/>
          <w:szCs w:val="24"/>
          <w:lang w:val="en-CA"/>
        </w:rPr>
        <w:t xml:space="preserve">The S&amp;P 500 started the month of January lower than the previous month, as the December numbers were buoyed by end-of-year, tax-loss, selling. It ended January flat after a tumultuous few days of trading at the end of the month. The S&amp;P TSX was flat on the month. The MSCI World Index, </w:t>
      </w:r>
      <w:r w:rsidRPr="00533683">
        <w:rPr>
          <w:sz w:val="24"/>
          <w:szCs w:val="24"/>
          <w:lang w:val="en-CA"/>
        </w:rPr>
        <w:t>which reflects returns for developed equity markets around the globe</w:t>
      </w:r>
      <w:r>
        <w:rPr>
          <w:sz w:val="24"/>
          <w:szCs w:val="24"/>
          <w:lang w:val="en-CA"/>
        </w:rPr>
        <w:t xml:space="preserve">, ended the month on a lower note. </w:t>
      </w:r>
    </w:p>
    <w:p w14:paraId="203E742D" w14:textId="6B5F2EDD" w:rsidR="00C9578E" w:rsidRPr="00533683" w:rsidRDefault="00DE0253" w:rsidP="00253656">
      <w:pPr>
        <w:rPr>
          <w:b/>
          <w:bCs/>
          <w:sz w:val="24"/>
          <w:szCs w:val="24"/>
          <w:lang w:val="en-CA"/>
        </w:rPr>
      </w:pPr>
      <w:r>
        <w:rPr>
          <w:b/>
          <w:bCs/>
          <w:sz w:val="24"/>
          <w:szCs w:val="24"/>
          <w:lang w:val="en-CA"/>
        </w:rPr>
        <w:t>Looking Ahead</w:t>
      </w:r>
    </w:p>
    <w:p w14:paraId="6EF37A6B" w14:textId="77777777" w:rsidR="00DE0253" w:rsidRPr="00DE0253" w:rsidRDefault="00DE0253" w:rsidP="00DE0253">
      <w:pPr>
        <w:rPr>
          <w:sz w:val="24"/>
          <w:szCs w:val="24"/>
          <w:lang w:val="en-CA"/>
        </w:rPr>
      </w:pPr>
      <w:r>
        <w:rPr>
          <w:sz w:val="24"/>
          <w:szCs w:val="24"/>
          <w:lang w:val="en-CA"/>
        </w:rPr>
        <w:lastRenderedPageBreak/>
        <w:t xml:space="preserve">We are not out of the woods yet! Markets will continue to be volatile for some time and if we learned anything from 2020, it’s that life and economies are hard to predict. One thing is </w:t>
      </w:r>
      <w:proofErr w:type="gramStart"/>
      <w:r>
        <w:rPr>
          <w:sz w:val="24"/>
          <w:szCs w:val="24"/>
          <w:lang w:val="en-CA"/>
        </w:rPr>
        <w:t>fairly certain</w:t>
      </w:r>
      <w:proofErr w:type="gramEnd"/>
      <w:r>
        <w:rPr>
          <w:sz w:val="24"/>
          <w:szCs w:val="24"/>
          <w:lang w:val="en-CA"/>
        </w:rPr>
        <w:t xml:space="preserve"> however, a broadly-diversified portfolio of investments offers protection from market volatility.  </w:t>
      </w:r>
      <w:r w:rsidRPr="001517EC">
        <w:rPr>
          <w:sz w:val="24"/>
          <w:szCs w:val="24"/>
          <w:lang w:val="en-CA"/>
        </w:rPr>
        <w:t>It’s also important to stay invested</w:t>
      </w:r>
      <w:r>
        <w:rPr>
          <w:sz w:val="24"/>
          <w:szCs w:val="24"/>
          <w:lang w:val="en-CA"/>
        </w:rPr>
        <w:t xml:space="preserve"> and focus on your investment goals. </w:t>
      </w:r>
      <w:r w:rsidRPr="00DE0253">
        <w:rPr>
          <w:sz w:val="24"/>
          <w:szCs w:val="24"/>
          <w:lang w:val="en-CA"/>
        </w:rPr>
        <w:t>My team and I are here to help. Should you have any questions regarding your portfolio, please do not hesitate to contact my office.</w:t>
      </w:r>
    </w:p>
    <w:p w14:paraId="0DAC4FC3" w14:textId="77777777" w:rsidR="00DE0253" w:rsidRPr="00DE0253" w:rsidRDefault="00DE0253" w:rsidP="00DE0253">
      <w:pPr>
        <w:rPr>
          <w:sz w:val="24"/>
          <w:szCs w:val="24"/>
          <w:lang w:val="en-CA"/>
        </w:rPr>
      </w:pPr>
      <w:r w:rsidRPr="00DE0253">
        <w:rPr>
          <w:sz w:val="24"/>
          <w:szCs w:val="24"/>
          <w:lang w:val="en-CA"/>
        </w:rPr>
        <w:t xml:space="preserve">As always, I am greatly appreciative of your business and your loyalty. It is my fervent hope that you and your family stay safe. I would also like to thank you for your continued trust in me and for the opportunity to assist you in working toward your financial goals. </w:t>
      </w:r>
    </w:p>
    <w:p w14:paraId="267CAD1B" w14:textId="77777777" w:rsidR="00DE0253" w:rsidRPr="00DE0253" w:rsidRDefault="00DE0253" w:rsidP="00DE0253">
      <w:pPr>
        <w:rPr>
          <w:sz w:val="24"/>
          <w:szCs w:val="24"/>
          <w:lang w:val="en-CA"/>
        </w:rPr>
      </w:pPr>
      <w:r w:rsidRPr="00DE0253">
        <w:rPr>
          <w:sz w:val="24"/>
          <w:szCs w:val="24"/>
          <w:lang w:val="en-CA"/>
        </w:rPr>
        <w:t>Sincerely,</w:t>
      </w:r>
    </w:p>
    <w:p w14:paraId="6BBE6D71" w14:textId="77777777" w:rsidR="00D71AAA" w:rsidRPr="00533683" w:rsidRDefault="00D71AAA" w:rsidP="00253656">
      <w:pPr>
        <w:rPr>
          <w:rFonts w:cs="Arial"/>
          <w:sz w:val="24"/>
          <w:szCs w:val="24"/>
          <w:lang w:val="en-CA"/>
        </w:rPr>
      </w:pPr>
    </w:p>
    <w:p w14:paraId="1D40A2C7" w14:textId="3B34D0F7" w:rsidR="009667DF" w:rsidRPr="00533683" w:rsidRDefault="00D71AAA" w:rsidP="00253656">
      <w:pPr>
        <w:rPr>
          <w:rFonts w:cs="Arial"/>
          <w:b/>
          <w:bCs/>
          <w:sz w:val="24"/>
          <w:szCs w:val="24"/>
          <w:lang w:val="en-CA"/>
        </w:rPr>
      </w:pPr>
      <w:r w:rsidRPr="00533683">
        <w:rPr>
          <w:rFonts w:cs="Arial"/>
          <w:b/>
          <w:bCs/>
          <w:sz w:val="24"/>
          <w:szCs w:val="24"/>
          <w:lang w:val="en-CA"/>
        </w:rPr>
        <w:t>Financial Advisor</w:t>
      </w:r>
    </w:p>
    <w:bookmarkEnd w:id="0"/>
    <w:p w14:paraId="74415A29" w14:textId="0A2CCD36" w:rsidR="000A130E" w:rsidRPr="00533683" w:rsidRDefault="000A130E" w:rsidP="00253656">
      <w:pPr>
        <w:rPr>
          <w:rFonts w:cs="Arial"/>
          <w:sz w:val="24"/>
          <w:szCs w:val="24"/>
          <w:lang w:val="en-CA"/>
        </w:rPr>
      </w:pPr>
    </w:p>
    <w:p w14:paraId="73C93CE6" w14:textId="0DC923C9" w:rsidR="000A130E" w:rsidRPr="00A75084" w:rsidRDefault="009A1C50" w:rsidP="00253656">
      <w:pPr>
        <w:rPr>
          <w:rFonts w:ascii="Times New Roman" w:hAnsi="Times New Roman" w:cs="Times New Roman"/>
          <w:i/>
          <w:iCs/>
          <w:lang w:val="en-CA"/>
        </w:rPr>
      </w:pPr>
      <w:r w:rsidRPr="009A1C50">
        <w:rPr>
          <w:rFonts w:ascii="Times New Roman" w:hAnsi="Times New Roman" w:cs="Times New Roman"/>
          <w:i/>
          <w:iCs/>
          <w:lang w:val="en-CA"/>
        </w:rPr>
        <w:t xml:space="preserve">The information in this letter is derived from various sources, including CI Global Asset Management, Financial Post, </w:t>
      </w:r>
      <w:r w:rsidR="00210CC2">
        <w:rPr>
          <w:rFonts w:ascii="Times New Roman" w:hAnsi="Times New Roman" w:cs="Times New Roman"/>
          <w:i/>
          <w:iCs/>
          <w:lang w:val="en-CA"/>
        </w:rPr>
        <w:t>CNBC</w:t>
      </w:r>
      <w:r w:rsidRPr="009A1C50">
        <w:rPr>
          <w:rFonts w:ascii="Times New Roman" w:hAnsi="Times New Roman" w:cs="Times New Roman"/>
          <w:i/>
          <w:iCs/>
          <w:lang w:val="en-CA"/>
        </w:rPr>
        <w:t>, Wealth Professional, and Reuters as at various dates. Index information was provided by TD Newcrest and PC Bond, and all quoted equity index returns are on a total return basis (including dividends). This material is provided for general information and is subject to change without notice. Every effort has been made to compile this material from reliable sources and reasonable steps has been taken to ensure their accuracy. Market conditions may change which may impact the information contained in this document. Before acting on any of the above, please contact me for individual financial advice based on your personal circumstances.</w:t>
      </w:r>
    </w:p>
    <w:p w14:paraId="41A1065D" w14:textId="29045A77" w:rsidR="000A130E" w:rsidRPr="00533683" w:rsidRDefault="000A130E" w:rsidP="00D71AAA">
      <w:pPr>
        <w:rPr>
          <w:lang w:val="en-CA"/>
        </w:rPr>
      </w:pPr>
    </w:p>
    <w:sectPr w:rsidR="000A130E" w:rsidRPr="00533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DF"/>
    <w:rsid w:val="00012A14"/>
    <w:rsid w:val="000A130E"/>
    <w:rsid w:val="000D3446"/>
    <w:rsid w:val="000D371E"/>
    <w:rsid w:val="000F03FA"/>
    <w:rsid w:val="00113145"/>
    <w:rsid w:val="0016593D"/>
    <w:rsid w:val="00193416"/>
    <w:rsid w:val="001C2D2C"/>
    <w:rsid w:val="001D4FC0"/>
    <w:rsid w:val="00210CC2"/>
    <w:rsid w:val="002113C6"/>
    <w:rsid w:val="002176D6"/>
    <w:rsid w:val="002202D3"/>
    <w:rsid w:val="00253656"/>
    <w:rsid w:val="003518F1"/>
    <w:rsid w:val="0037728C"/>
    <w:rsid w:val="00380DB1"/>
    <w:rsid w:val="00397CE8"/>
    <w:rsid w:val="003E21DB"/>
    <w:rsid w:val="0043711D"/>
    <w:rsid w:val="00447831"/>
    <w:rsid w:val="004919C0"/>
    <w:rsid w:val="004C4E40"/>
    <w:rsid w:val="004D741E"/>
    <w:rsid w:val="004E48B3"/>
    <w:rsid w:val="00521D5F"/>
    <w:rsid w:val="00533683"/>
    <w:rsid w:val="005510C1"/>
    <w:rsid w:val="00593243"/>
    <w:rsid w:val="005D14CB"/>
    <w:rsid w:val="006129E4"/>
    <w:rsid w:val="0066514A"/>
    <w:rsid w:val="00665739"/>
    <w:rsid w:val="006843B4"/>
    <w:rsid w:val="00690D7A"/>
    <w:rsid w:val="006D2F30"/>
    <w:rsid w:val="0078160C"/>
    <w:rsid w:val="008405EF"/>
    <w:rsid w:val="00890515"/>
    <w:rsid w:val="008A0A44"/>
    <w:rsid w:val="008A33FB"/>
    <w:rsid w:val="008D7CFA"/>
    <w:rsid w:val="00952844"/>
    <w:rsid w:val="009572C1"/>
    <w:rsid w:val="009659C1"/>
    <w:rsid w:val="009667DF"/>
    <w:rsid w:val="00974DF7"/>
    <w:rsid w:val="009828AC"/>
    <w:rsid w:val="009A1C50"/>
    <w:rsid w:val="009C280D"/>
    <w:rsid w:val="009E2B94"/>
    <w:rsid w:val="00A25800"/>
    <w:rsid w:val="00A75084"/>
    <w:rsid w:val="00A85FF3"/>
    <w:rsid w:val="00AB56A5"/>
    <w:rsid w:val="00AC45BE"/>
    <w:rsid w:val="00AE552B"/>
    <w:rsid w:val="00B247E0"/>
    <w:rsid w:val="00BD3137"/>
    <w:rsid w:val="00BF0F27"/>
    <w:rsid w:val="00C853CB"/>
    <w:rsid w:val="00C9578E"/>
    <w:rsid w:val="00CD4607"/>
    <w:rsid w:val="00D552FA"/>
    <w:rsid w:val="00D71AAA"/>
    <w:rsid w:val="00D86626"/>
    <w:rsid w:val="00DE0253"/>
    <w:rsid w:val="00E3207C"/>
    <w:rsid w:val="00E5740F"/>
    <w:rsid w:val="00E82CB7"/>
    <w:rsid w:val="00F83499"/>
    <w:rsid w:val="00FE4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B3FD"/>
  <w15:chartTrackingRefBased/>
  <w15:docId w15:val="{5E85A7C2-97CE-40B3-B9C8-9166B014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67DF"/>
    <w:rPr>
      <w:sz w:val="16"/>
      <w:szCs w:val="16"/>
    </w:rPr>
  </w:style>
  <w:style w:type="paragraph" w:styleId="CommentText">
    <w:name w:val="annotation text"/>
    <w:basedOn w:val="Normal"/>
    <w:link w:val="CommentTextChar"/>
    <w:uiPriority w:val="99"/>
    <w:semiHidden/>
    <w:unhideWhenUsed/>
    <w:rsid w:val="009667DF"/>
    <w:pPr>
      <w:spacing w:line="240" w:lineRule="auto"/>
    </w:pPr>
    <w:rPr>
      <w:sz w:val="20"/>
      <w:szCs w:val="20"/>
    </w:rPr>
  </w:style>
  <w:style w:type="character" w:customStyle="1" w:styleId="CommentTextChar">
    <w:name w:val="Comment Text Char"/>
    <w:basedOn w:val="DefaultParagraphFont"/>
    <w:link w:val="CommentText"/>
    <w:uiPriority w:val="99"/>
    <w:semiHidden/>
    <w:rsid w:val="009667DF"/>
    <w:rPr>
      <w:sz w:val="20"/>
      <w:szCs w:val="20"/>
    </w:rPr>
  </w:style>
  <w:style w:type="paragraph" w:styleId="BalloonText">
    <w:name w:val="Balloon Text"/>
    <w:basedOn w:val="Normal"/>
    <w:link w:val="BalloonTextChar"/>
    <w:uiPriority w:val="99"/>
    <w:semiHidden/>
    <w:unhideWhenUsed/>
    <w:rsid w:val="00966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7DF"/>
    <w:rPr>
      <w:rFonts w:ascii="Segoe UI" w:hAnsi="Segoe UI" w:cs="Segoe UI"/>
      <w:sz w:val="18"/>
      <w:szCs w:val="18"/>
    </w:rPr>
  </w:style>
  <w:style w:type="paragraph" w:styleId="NormalWeb">
    <w:name w:val="Normal (Web)"/>
    <w:basedOn w:val="Normal"/>
    <w:uiPriority w:val="99"/>
    <w:unhideWhenUsed/>
    <w:rsid w:val="00D71A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130E"/>
    <w:rPr>
      <w:color w:val="0563C1" w:themeColor="hyperlink"/>
      <w:u w:val="single"/>
    </w:rPr>
  </w:style>
  <w:style w:type="character" w:styleId="UnresolvedMention">
    <w:name w:val="Unresolved Mention"/>
    <w:basedOn w:val="DefaultParagraphFont"/>
    <w:uiPriority w:val="99"/>
    <w:semiHidden/>
    <w:unhideWhenUsed/>
    <w:rsid w:val="000A1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22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BE8CE-2F6A-42D4-AB19-45682ADE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Jagdeo, Jessica</dc:creator>
  <cp:keywords/>
  <dc:description/>
  <cp:lastModifiedBy>Damji, Aly</cp:lastModifiedBy>
  <cp:revision>2</cp:revision>
  <dcterms:created xsi:type="dcterms:W3CDTF">2021-02-10T14:30:00Z</dcterms:created>
  <dcterms:modified xsi:type="dcterms:W3CDTF">2021-02-10T14:30:00Z</dcterms:modified>
</cp:coreProperties>
</file>