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BFA4" w14:textId="77777777" w:rsidR="00BB3026" w:rsidRPr="0060216B" w:rsidRDefault="00425D40" w:rsidP="00BB3026">
      <w:pPr>
        <w:rPr>
          <w:sz w:val="22"/>
          <w:szCs w:val="22"/>
        </w:rPr>
      </w:pPr>
      <w:r w:rsidRPr="0060216B">
        <w:rPr>
          <w:i/>
          <w:iCs/>
          <w:sz w:val="22"/>
          <w:szCs w:val="22"/>
        </w:rPr>
        <w:br/>
      </w:r>
      <w:proofErr w:type="gramStart"/>
      <w:r w:rsidRPr="0060216B">
        <w:rPr>
          <w:sz w:val="22"/>
          <w:szCs w:val="22"/>
        </w:rPr>
        <w:t>October XX</w:t>
      </w:r>
      <w:r w:rsidR="00BB3026" w:rsidRPr="0060216B">
        <w:rPr>
          <w:sz w:val="22"/>
          <w:szCs w:val="22"/>
        </w:rPr>
        <w:t>,</w:t>
      </w:r>
      <w:proofErr w:type="gramEnd"/>
      <w:r w:rsidR="00BB3026" w:rsidRPr="0060216B">
        <w:rPr>
          <w:sz w:val="22"/>
          <w:szCs w:val="22"/>
        </w:rPr>
        <w:t xml:space="preserve"> 2021</w:t>
      </w:r>
    </w:p>
    <w:p w14:paraId="483DBAC3" w14:textId="77777777" w:rsidR="006B0EDC" w:rsidRPr="0060216B" w:rsidRDefault="006B0EDC" w:rsidP="00BB3026">
      <w:pPr>
        <w:rPr>
          <w:sz w:val="22"/>
          <w:szCs w:val="22"/>
        </w:rPr>
      </w:pPr>
    </w:p>
    <w:p w14:paraId="0332AFEC" w14:textId="77777777" w:rsidR="00BB3026" w:rsidRPr="0060216B" w:rsidRDefault="00BB3026" w:rsidP="00BB3026">
      <w:pPr>
        <w:rPr>
          <w:b/>
          <w:sz w:val="22"/>
          <w:szCs w:val="22"/>
        </w:rPr>
      </w:pPr>
      <w:r w:rsidRPr="0060216B">
        <w:rPr>
          <w:b/>
          <w:sz w:val="22"/>
          <w:szCs w:val="22"/>
        </w:rPr>
        <w:t>Dear Client,</w:t>
      </w:r>
    </w:p>
    <w:p w14:paraId="4A93A57C" w14:textId="77777777" w:rsidR="007476D9" w:rsidRPr="007476D9" w:rsidRDefault="00425D40" w:rsidP="007476D9">
      <w:pPr>
        <w:rPr>
          <w:color w:val="333333"/>
          <w:sz w:val="22"/>
          <w:szCs w:val="22"/>
          <w:shd w:val="clear" w:color="auto" w:fill="FFFFFF"/>
        </w:rPr>
      </w:pPr>
      <w:r w:rsidRPr="0060216B">
        <w:rPr>
          <w:sz w:val="22"/>
          <w:szCs w:val="22"/>
        </w:rPr>
        <w:br/>
      </w:r>
      <w:r w:rsidR="00213AB1" w:rsidRPr="0060216B">
        <w:rPr>
          <w:color w:val="333333"/>
          <w:sz w:val="22"/>
          <w:szCs w:val="22"/>
          <w:shd w:val="clear" w:color="auto" w:fill="FFFFFF"/>
        </w:rPr>
        <w:t>U.S, Canadian and global equity markets sta</w:t>
      </w:r>
      <w:r w:rsidR="008D07DB">
        <w:rPr>
          <w:color w:val="333333"/>
          <w:sz w:val="22"/>
          <w:szCs w:val="22"/>
          <w:shd w:val="clear" w:color="auto" w:fill="FFFFFF"/>
        </w:rPr>
        <w:t>rted Q3 where Q2 ended, c</w:t>
      </w:r>
      <w:r w:rsidR="00CF4D62">
        <w:rPr>
          <w:color w:val="333333"/>
          <w:sz w:val="22"/>
          <w:szCs w:val="22"/>
          <w:shd w:val="clear" w:color="auto" w:fill="FFFFFF"/>
        </w:rPr>
        <w:t>onfidently c</w:t>
      </w:r>
      <w:r w:rsidR="008D07DB">
        <w:rPr>
          <w:color w:val="333333"/>
          <w:sz w:val="22"/>
          <w:szCs w:val="22"/>
          <w:shd w:val="clear" w:color="auto" w:fill="FFFFFF"/>
        </w:rPr>
        <w:t>harting a course forwards</w:t>
      </w:r>
      <w:r w:rsidR="007476D9">
        <w:rPr>
          <w:color w:val="333333"/>
          <w:sz w:val="22"/>
          <w:szCs w:val="22"/>
          <w:shd w:val="clear" w:color="auto" w:fill="FFFFFF"/>
        </w:rPr>
        <w:t xml:space="preserve">. </w:t>
      </w:r>
      <w:r w:rsidR="00213AB1" w:rsidRPr="0060216B">
        <w:rPr>
          <w:color w:val="333333"/>
          <w:sz w:val="22"/>
          <w:szCs w:val="22"/>
          <w:shd w:val="clear" w:color="auto" w:fill="FFFFFF"/>
        </w:rPr>
        <w:t xml:space="preserve">By the end of August, equities had notched a seventh straight month of gains, with the S&amp;P 500 Index finishing near its all-time high and the TSX Composite Index on its longest winning streak in four years. Markets then dipped in September </w:t>
      </w:r>
      <w:r w:rsidR="00EF31A8">
        <w:rPr>
          <w:color w:val="333333"/>
          <w:sz w:val="22"/>
          <w:szCs w:val="22"/>
          <w:shd w:val="clear" w:color="auto" w:fill="FFFFFF"/>
        </w:rPr>
        <w:t>on a number of risk-related events</w:t>
      </w:r>
      <w:r w:rsidR="00BF0069">
        <w:rPr>
          <w:color w:val="333333"/>
          <w:sz w:val="22"/>
          <w:szCs w:val="22"/>
          <w:shd w:val="clear" w:color="auto" w:fill="FFFFFF"/>
        </w:rPr>
        <w:t>, before finishing Q3 close to</w:t>
      </w:r>
      <w:r w:rsidR="00DB560D">
        <w:rPr>
          <w:color w:val="333333"/>
          <w:sz w:val="22"/>
          <w:szCs w:val="22"/>
          <w:shd w:val="clear" w:color="auto" w:fill="FFFFFF"/>
        </w:rPr>
        <w:t xml:space="preserve"> </w:t>
      </w:r>
      <w:r w:rsidR="00BF0069">
        <w:rPr>
          <w:color w:val="333333"/>
          <w:sz w:val="22"/>
          <w:szCs w:val="22"/>
          <w:shd w:val="clear" w:color="auto" w:fill="FFFFFF"/>
        </w:rPr>
        <w:t>previous</w:t>
      </w:r>
      <w:r w:rsidR="00213AB1" w:rsidRPr="0060216B">
        <w:rPr>
          <w:color w:val="333333"/>
          <w:sz w:val="22"/>
          <w:szCs w:val="22"/>
          <w:shd w:val="clear" w:color="auto" w:fill="FFFFFF"/>
        </w:rPr>
        <w:t xml:space="preserve"> highs. </w:t>
      </w:r>
      <w:r w:rsidR="00BF0069">
        <w:rPr>
          <w:color w:val="333333"/>
          <w:sz w:val="22"/>
          <w:szCs w:val="22"/>
          <w:shd w:val="clear" w:color="auto" w:fill="FFFFFF"/>
        </w:rPr>
        <w:br/>
      </w:r>
      <w:r w:rsidR="00BF0069">
        <w:rPr>
          <w:color w:val="333333"/>
          <w:sz w:val="22"/>
          <w:szCs w:val="22"/>
          <w:shd w:val="clear" w:color="auto" w:fill="FFFFFF"/>
        </w:rPr>
        <w:br/>
      </w:r>
      <w:r w:rsidR="00213AB1" w:rsidRPr="0060216B">
        <w:rPr>
          <w:color w:val="333333"/>
          <w:sz w:val="22"/>
          <w:szCs w:val="22"/>
          <w:shd w:val="clear" w:color="auto" w:fill="FFFFFF"/>
        </w:rPr>
        <w:t>Fixed income markets remained calm and U.S. treasury yields steady on reassuring</w:t>
      </w:r>
      <w:r w:rsidR="0036278E">
        <w:rPr>
          <w:color w:val="333333"/>
          <w:sz w:val="22"/>
          <w:szCs w:val="22"/>
          <w:shd w:val="clear" w:color="auto" w:fill="FFFFFF"/>
        </w:rPr>
        <w:t xml:space="preserve"> economic</w:t>
      </w:r>
      <w:r w:rsidR="00DB560D">
        <w:rPr>
          <w:color w:val="333333"/>
          <w:sz w:val="22"/>
          <w:szCs w:val="22"/>
          <w:shd w:val="clear" w:color="auto" w:fill="FFFFFF"/>
        </w:rPr>
        <w:t xml:space="preserve"> comments from t</w:t>
      </w:r>
      <w:r w:rsidR="00213AB1" w:rsidRPr="0060216B">
        <w:rPr>
          <w:color w:val="333333"/>
          <w:sz w:val="22"/>
          <w:szCs w:val="22"/>
          <w:shd w:val="clear" w:color="auto" w:fill="FFFFFF"/>
        </w:rPr>
        <w:t>he Fed.  In Canada, it was another positive quarter for ETFs.</w:t>
      </w:r>
      <w:r w:rsidR="007476D9">
        <w:rPr>
          <w:color w:val="333333"/>
          <w:sz w:val="22"/>
          <w:szCs w:val="22"/>
          <w:shd w:val="clear" w:color="auto" w:fill="FFFFFF"/>
        </w:rPr>
        <w:t xml:space="preserve"> </w:t>
      </w:r>
      <w:r w:rsidR="00213AB1" w:rsidRPr="00213AB1">
        <w:rPr>
          <w:color w:val="333333"/>
          <w:sz w:val="22"/>
          <w:szCs w:val="22"/>
          <w:shd w:val="clear" w:color="auto" w:fill="FFFFFF"/>
        </w:rPr>
        <w:t>Canada’s top six banks also posted strong quarterly earnings that easily beat analyst expectations. Overall, approximately a fifth of TSX listed companies and third of S&amp;P 500 listed companies repo</w:t>
      </w:r>
      <w:r w:rsidR="00DB560D">
        <w:rPr>
          <w:color w:val="333333"/>
          <w:sz w:val="22"/>
          <w:szCs w:val="22"/>
          <w:shd w:val="clear" w:color="auto" w:fill="FFFFFF"/>
        </w:rPr>
        <w:t>rted handsome corporate results</w:t>
      </w:r>
      <w:r w:rsidR="00213AB1" w:rsidRPr="00213AB1">
        <w:rPr>
          <w:color w:val="333333"/>
          <w:sz w:val="22"/>
          <w:szCs w:val="22"/>
          <w:shd w:val="clear" w:color="auto" w:fill="FFFFFF"/>
        </w:rPr>
        <w:t xml:space="preserve"> during the </w:t>
      </w:r>
      <w:r w:rsidR="00BF0069">
        <w:rPr>
          <w:color w:val="333333"/>
          <w:sz w:val="22"/>
          <w:szCs w:val="22"/>
          <w:shd w:val="clear" w:color="auto" w:fill="FFFFFF"/>
        </w:rPr>
        <w:t>quarter, including</w:t>
      </w:r>
      <w:r w:rsidR="00213AB1" w:rsidRPr="00213AB1">
        <w:rPr>
          <w:color w:val="333333"/>
          <w:sz w:val="22"/>
          <w:szCs w:val="22"/>
          <w:shd w:val="clear" w:color="auto" w:fill="FFFFFF"/>
        </w:rPr>
        <w:t xml:space="preserve"> some of the biggest tech names.</w:t>
      </w:r>
      <w:r w:rsidR="00DE1BEB">
        <w:rPr>
          <w:color w:val="333333"/>
          <w:sz w:val="22"/>
          <w:szCs w:val="22"/>
          <w:shd w:val="clear" w:color="auto" w:fill="FFFFFF"/>
        </w:rPr>
        <w:br/>
      </w:r>
      <w:r w:rsidR="00DE1BEB">
        <w:rPr>
          <w:color w:val="333333"/>
          <w:sz w:val="22"/>
          <w:szCs w:val="22"/>
          <w:shd w:val="clear" w:color="auto" w:fill="FFFFFF"/>
        </w:rPr>
        <w:br/>
      </w:r>
      <w:r w:rsidR="00A204AC" w:rsidRPr="00A204AC">
        <w:rPr>
          <w:color w:val="333333"/>
          <w:sz w:val="22"/>
          <w:szCs w:val="22"/>
          <w:shd w:val="clear" w:color="auto" w:fill="FFFFFF"/>
        </w:rPr>
        <w:t xml:space="preserve">The U.K.’s Freedom Day, celebrating the reopening of its economy went ahead on July 19. Developments in the U.K. are seen as a potential leading marker for the reopening of other western economies. </w:t>
      </w:r>
      <w:r w:rsidR="00531CFE">
        <w:rPr>
          <w:color w:val="333333"/>
          <w:sz w:val="22"/>
          <w:szCs w:val="22"/>
          <w:shd w:val="clear" w:color="auto" w:fill="FFFFFF"/>
        </w:rPr>
        <w:t>Shortly after, the</w:t>
      </w:r>
      <w:r w:rsidR="007476D9">
        <w:rPr>
          <w:color w:val="333333"/>
          <w:sz w:val="22"/>
          <w:szCs w:val="22"/>
          <w:shd w:val="clear" w:color="auto" w:fill="FFFFFF"/>
        </w:rPr>
        <w:t xml:space="preserve"> Canadian federal</w:t>
      </w:r>
      <w:r w:rsidR="00DE1BEB" w:rsidRPr="00DE1BEB">
        <w:rPr>
          <w:color w:val="333333"/>
          <w:sz w:val="22"/>
          <w:szCs w:val="22"/>
          <w:shd w:val="clear" w:color="auto" w:fill="FFFFFF"/>
        </w:rPr>
        <w:t xml:space="preserve"> government unveiled a roadmap to reopen its borders. On August 9, vaccinated Americans were allow</w:t>
      </w:r>
      <w:r w:rsidR="00DB560D">
        <w:rPr>
          <w:color w:val="333333"/>
          <w:sz w:val="22"/>
          <w:szCs w:val="22"/>
          <w:shd w:val="clear" w:color="auto" w:fill="FFFFFF"/>
        </w:rPr>
        <w:t xml:space="preserve">ed to visit again and from September </w:t>
      </w:r>
      <w:r w:rsidR="00DE1BEB" w:rsidRPr="00DE1BEB">
        <w:rPr>
          <w:color w:val="333333"/>
          <w:sz w:val="22"/>
          <w:szCs w:val="22"/>
          <w:shd w:val="clear" w:color="auto" w:fill="FFFFFF"/>
        </w:rPr>
        <w:t>7 vaccinated travelers from other countries.</w:t>
      </w:r>
      <w:r w:rsidR="00531CFE">
        <w:rPr>
          <w:color w:val="333333"/>
          <w:sz w:val="22"/>
          <w:szCs w:val="22"/>
          <w:shd w:val="clear" w:color="auto" w:fill="FFFFFF"/>
        </w:rPr>
        <w:t xml:space="preserve"> </w:t>
      </w:r>
      <w:r w:rsidR="00A204AC">
        <w:rPr>
          <w:color w:val="333333"/>
          <w:sz w:val="22"/>
          <w:szCs w:val="22"/>
          <w:shd w:val="clear" w:color="auto" w:fill="FFFFFF"/>
        </w:rPr>
        <w:t>Q3</w:t>
      </w:r>
      <w:r w:rsidR="00531CFE">
        <w:rPr>
          <w:color w:val="333333"/>
          <w:sz w:val="22"/>
          <w:szCs w:val="22"/>
          <w:shd w:val="clear" w:color="auto" w:fill="FFFFFF"/>
        </w:rPr>
        <w:t xml:space="preserve"> also</w:t>
      </w:r>
      <w:r w:rsidR="00A204AC">
        <w:rPr>
          <w:color w:val="333333"/>
          <w:sz w:val="22"/>
          <w:szCs w:val="22"/>
          <w:shd w:val="clear" w:color="auto" w:fill="FFFFFF"/>
        </w:rPr>
        <w:t xml:space="preserve"> witnessed an historic monetary development as El Salvador became the first nation to adopt bitcoin, </w:t>
      </w:r>
      <w:r w:rsidR="00CF4D62">
        <w:rPr>
          <w:color w:val="333333"/>
          <w:sz w:val="22"/>
          <w:szCs w:val="22"/>
          <w:shd w:val="clear" w:color="auto" w:fill="FFFFFF"/>
        </w:rPr>
        <w:t xml:space="preserve">the most popular </w:t>
      </w:r>
      <w:r w:rsidR="00A204AC">
        <w:rPr>
          <w:color w:val="333333"/>
          <w:sz w:val="22"/>
          <w:szCs w:val="22"/>
          <w:shd w:val="clear" w:color="auto" w:fill="FFFFFF"/>
        </w:rPr>
        <w:t>cryptocurrency, as legal tender.</w:t>
      </w:r>
    </w:p>
    <w:p w14:paraId="1D405B18" w14:textId="77777777" w:rsidR="00213AB1" w:rsidRPr="00DE1BEB" w:rsidRDefault="007476D9" w:rsidP="00213AB1">
      <w:pPr>
        <w:rPr>
          <w:color w:val="333333"/>
          <w:sz w:val="22"/>
          <w:szCs w:val="22"/>
          <w:shd w:val="clear" w:color="auto" w:fill="FFFFFF"/>
        </w:rPr>
      </w:pPr>
      <w:r>
        <w:rPr>
          <w:color w:val="333333"/>
          <w:sz w:val="22"/>
          <w:szCs w:val="22"/>
          <w:shd w:val="clear" w:color="auto" w:fill="FFFFFF"/>
        </w:rPr>
        <w:br/>
      </w:r>
      <w:r w:rsidR="00213AB1" w:rsidRPr="00213AB1">
        <w:rPr>
          <w:color w:val="333333"/>
          <w:sz w:val="22"/>
          <w:szCs w:val="22"/>
          <w:shd w:val="clear" w:color="auto" w:fill="FFFFFF"/>
        </w:rPr>
        <w:t>The Fed left U.S. interest rates in the near zero ran</w:t>
      </w:r>
      <w:r w:rsidR="00CF4D62">
        <w:rPr>
          <w:color w:val="333333"/>
          <w:sz w:val="22"/>
          <w:szCs w:val="22"/>
          <w:shd w:val="clear" w:color="auto" w:fill="FFFFFF"/>
        </w:rPr>
        <w:t>ge but indicated it would</w:t>
      </w:r>
      <w:r w:rsidR="00213AB1" w:rsidRPr="00213AB1">
        <w:rPr>
          <w:color w:val="333333"/>
          <w:sz w:val="22"/>
          <w:szCs w:val="22"/>
          <w:shd w:val="clear" w:color="auto" w:fill="FFFFFF"/>
        </w:rPr>
        <w:t xml:space="preserve"> begin winding down its US$120 billion monthly government bond buying stimulus by year end. U.S. inflation, although cooling, rose 5.3% on the same period last year, drive</w:t>
      </w:r>
      <w:r w:rsidR="00DB560D">
        <w:rPr>
          <w:color w:val="333333"/>
          <w:sz w:val="22"/>
          <w:szCs w:val="22"/>
          <w:shd w:val="clear" w:color="auto" w:fill="FFFFFF"/>
        </w:rPr>
        <w:t>n by COVID-19 infections impacting</w:t>
      </w:r>
      <w:r w:rsidR="00213AB1" w:rsidRPr="00213AB1">
        <w:rPr>
          <w:color w:val="333333"/>
          <w:sz w:val="22"/>
          <w:szCs w:val="22"/>
          <w:shd w:val="clear" w:color="auto" w:fill="FFFFFF"/>
        </w:rPr>
        <w:t xml:space="preserve"> economic growth and related shortages of labour and supplies affecting prices. The Fed reiterated it saw no immediate need to raise rates as this recent inflation spike was temporary. However, it signa</w:t>
      </w:r>
      <w:r w:rsidR="00957978">
        <w:rPr>
          <w:color w:val="333333"/>
          <w:sz w:val="22"/>
          <w:szCs w:val="22"/>
          <w:shd w:val="clear" w:color="auto" w:fill="FFFFFF"/>
        </w:rPr>
        <w:t>l</w:t>
      </w:r>
      <w:r w:rsidR="00213AB1" w:rsidRPr="00213AB1">
        <w:rPr>
          <w:color w:val="333333"/>
          <w:sz w:val="22"/>
          <w:szCs w:val="22"/>
          <w:shd w:val="clear" w:color="auto" w:fill="FFFFFF"/>
        </w:rPr>
        <w:t>ed rates might start going up sooner than previousl</w:t>
      </w:r>
      <w:r w:rsidR="00DB560D">
        <w:rPr>
          <w:color w:val="333333"/>
          <w:sz w:val="22"/>
          <w:szCs w:val="22"/>
          <w:shd w:val="clear" w:color="auto" w:fill="FFFFFF"/>
        </w:rPr>
        <w:t>y planned – possibly by</w:t>
      </w:r>
      <w:r w:rsidR="00213AB1" w:rsidRPr="00213AB1">
        <w:rPr>
          <w:color w:val="333333"/>
          <w:sz w:val="22"/>
          <w:szCs w:val="22"/>
          <w:shd w:val="clear" w:color="auto" w:fill="FFFFFF"/>
        </w:rPr>
        <w:t xml:space="preserve"> late 2022.</w:t>
      </w:r>
    </w:p>
    <w:p w14:paraId="48F3786B" w14:textId="77777777" w:rsidR="00213AB1" w:rsidRPr="00213AB1" w:rsidRDefault="00213AB1" w:rsidP="00213AB1">
      <w:pPr>
        <w:rPr>
          <w:color w:val="333333"/>
          <w:sz w:val="22"/>
          <w:szCs w:val="22"/>
          <w:shd w:val="clear" w:color="auto" w:fill="FFFFFF"/>
        </w:rPr>
      </w:pPr>
    </w:p>
    <w:p w14:paraId="3F5F6C66" w14:textId="77777777" w:rsidR="007476D9" w:rsidRDefault="00213AB1" w:rsidP="00BF0069">
      <w:pPr>
        <w:rPr>
          <w:color w:val="333333"/>
          <w:sz w:val="22"/>
          <w:szCs w:val="22"/>
          <w:shd w:val="clear" w:color="auto" w:fill="FFFFFF"/>
        </w:rPr>
      </w:pPr>
      <w:r w:rsidRPr="00213AB1">
        <w:rPr>
          <w:color w:val="333333"/>
          <w:sz w:val="22"/>
          <w:szCs w:val="22"/>
          <w:shd w:val="clear" w:color="auto" w:fill="FFFFFF"/>
        </w:rPr>
        <w:t>The Bank of Canada also held interest rates at 0.25% saying it expects the economy to strengthen throughout the second half of the year. The bank warned supply chain bottlenecks and rising COVID-19 cases could slow the pace of the recovery though. The bank continued with its bond buying program but scaled back purchases to about C$2 billion per week.</w:t>
      </w:r>
      <w:r w:rsidR="00BF0069">
        <w:rPr>
          <w:color w:val="333333"/>
          <w:sz w:val="22"/>
          <w:szCs w:val="22"/>
          <w:shd w:val="clear" w:color="auto" w:fill="FFFFFF"/>
        </w:rPr>
        <w:br/>
      </w:r>
      <w:r w:rsidR="00BF0069">
        <w:rPr>
          <w:color w:val="333333"/>
          <w:sz w:val="22"/>
          <w:szCs w:val="22"/>
          <w:shd w:val="clear" w:color="auto" w:fill="FFFFFF"/>
        </w:rPr>
        <w:br/>
      </w:r>
      <w:r w:rsidR="00BF0069" w:rsidRPr="00BF0069">
        <w:rPr>
          <w:color w:val="333333"/>
          <w:sz w:val="22"/>
          <w:szCs w:val="22"/>
          <w:shd w:val="clear" w:color="auto" w:fill="FFFFFF"/>
        </w:rPr>
        <w:t>Canadian inflation went north as well. Inflation rose 4.1% in August compared to year ago, the highest since 2003. The Bank of Canada has regularly stated it would intervene should inflation come in persistently above its 2% target, but noted the current bout of inflation was likely transitory.</w:t>
      </w:r>
    </w:p>
    <w:p w14:paraId="4ACE627D" w14:textId="77777777" w:rsidR="007476D9" w:rsidRDefault="007476D9" w:rsidP="00BF0069">
      <w:pPr>
        <w:rPr>
          <w:color w:val="333333"/>
          <w:sz w:val="22"/>
          <w:szCs w:val="22"/>
          <w:shd w:val="clear" w:color="auto" w:fill="FFFFFF"/>
        </w:rPr>
      </w:pPr>
    </w:p>
    <w:p w14:paraId="6AA542A7" w14:textId="7EA44952" w:rsidR="008A3B3E" w:rsidRPr="00CF4D62" w:rsidRDefault="00CD624B" w:rsidP="00A204AC">
      <w:pPr>
        <w:rPr>
          <w:sz w:val="22"/>
          <w:szCs w:val="22"/>
        </w:rPr>
      </w:pPr>
      <w:r w:rsidRPr="00CD624B">
        <w:rPr>
          <w:b/>
          <w:bCs/>
          <w:sz w:val="22"/>
          <w:szCs w:val="22"/>
        </w:rPr>
        <w:t>Capital Markets in Q</w:t>
      </w:r>
      <w:r w:rsidR="00425D40">
        <w:rPr>
          <w:b/>
          <w:bCs/>
          <w:sz w:val="22"/>
          <w:szCs w:val="22"/>
        </w:rPr>
        <w:t>3</w:t>
      </w:r>
      <w:r w:rsidRPr="00CD624B">
        <w:rPr>
          <w:sz w:val="22"/>
          <w:szCs w:val="22"/>
        </w:rPr>
        <w:br/>
      </w:r>
      <w:r w:rsidR="00425D40">
        <w:rPr>
          <w:sz w:val="22"/>
          <w:szCs w:val="22"/>
        </w:rPr>
        <w:br/>
      </w:r>
      <w:r w:rsidR="00425D40" w:rsidRPr="00CD624B">
        <w:rPr>
          <w:sz w:val="22"/>
          <w:szCs w:val="22"/>
        </w:rPr>
        <w:t>The S&amp;P/TSX Composite Index ended the quarter</w:t>
      </w:r>
      <w:r w:rsidR="00D91A94">
        <w:rPr>
          <w:sz w:val="22"/>
          <w:szCs w:val="22"/>
        </w:rPr>
        <w:t xml:space="preserve"> up 0.17%, led by the Financials (31.9% weight), Energy (13.1%) and Information Technology (11.5%) sectors. </w:t>
      </w:r>
      <w:r w:rsidR="00425D40">
        <w:rPr>
          <w:sz w:val="22"/>
          <w:szCs w:val="22"/>
        </w:rPr>
        <w:t>The S&amp;P 500 Index posted</w:t>
      </w:r>
      <w:r w:rsidR="009D2012">
        <w:rPr>
          <w:sz w:val="22"/>
          <w:szCs w:val="22"/>
        </w:rPr>
        <w:t xml:space="preserve"> a </w:t>
      </w:r>
      <w:r w:rsidR="00A32BEE">
        <w:rPr>
          <w:sz w:val="22"/>
          <w:szCs w:val="22"/>
        </w:rPr>
        <w:t>0.58</w:t>
      </w:r>
      <w:r w:rsidR="009D2012">
        <w:rPr>
          <w:sz w:val="22"/>
          <w:szCs w:val="22"/>
        </w:rPr>
        <w:t xml:space="preserve">% return led by Information Technology </w:t>
      </w:r>
      <w:r w:rsidR="00F95C01">
        <w:rPr>
          <w:sz w:val="22"/>
          <w:szCs w:val="22"/>
        </w:rPr>
        <w:t xml:space="preserve">(27.6% weight), Health Care (13.3%), and </w:t>
      </w:r>
      <w:r w:rsidR="00A32BEE">
        <w:rPr>
          <w:sz w:val="22"/>
          <w:szCs w:val="22"/>
        </w:rPr>
        <w:t>Communication Services (11.3%)</w:t>
      </w:r>
      <w:r w:rsidR="00F95C01">
        <w:rPr>
          <w:sz w:val="22"/>
          <w:szCs w:val="22"/>
        </w:rPr>
        <w:t xml:space="preserve"> sectors.</w:t>
      </w:r>
      <w:r w:rsidR="00425D40" w:rsidRPr="00A00797">
        <w:rPr>
          <w:color w:val="FF0000"/>
          <w:sz w:val="22"/>
          <w:szCs w:val="22"/>
        </w:rPr>
        <w:t xml:space="preserve"> </w:t>
      </w:r>
      <w:r w:rsidR="00425D40" w:rsidRPr="00CD624B">
        <w:rPr>
          <w:sz w:val="22"/>
          <w:szCs w:val="22"/>
        </w:rPr>
        <w:t xml:space="preserve">The MSCI EAFE </w:t>
      </w:r>
      <w:r w:rsidR="00425D40" w:rsidRPr="00A32BEE">
        <w:rPr>
          <w:sz w:val="22"/>
          <w:szCs w:val="22"/>
        </w:rPr>
        <w:t xml:space="preserve">Index was also in positive territory with an </w:t>
      </w:r>
      <w:r w:rsidR="00A32BEE" w:rsidRPr="00A32BEE">
        <w:rPr>
          <w:sz w:val="22"/>
          <w:szCs w:val="22"/>
        </w:rPr>
        <w:t>1.95</w:t>
      </w:r>
      <w:r w:rsidR="00425D40" w:rsidRPr="00A32BEE">
        <w:rPr>
          <w:sz w:val="22"/>
          <w:szCs w:val="22"/>
        </w:rPr>
        <w:t xml:space="preserve">% return led by the </w:t>
      </w:r>
      <w:r w:rsidR="00A32BEE" w:rsidRPr="00A32BEE">
        <w:rPr>
          <w:sz w:val="22"/>
          <w:szCs w:val="22"/>
        </w:rPr>
        <w:t>Financials</w:t>
      </w:r>
      <w:r w:rsidR="00425D40" w:rsidRPr="00A32BEE">
        <w:rPr>
          <w:sz w:val="22"/>
          <w:szCs w:val="22"/>
        </w:rPr>
        <w:t xml:space="preserve"> (</w:t>
      </w:r>
      <w:r w:rsidR="00A32BEE" w:rsidRPr="00A32BEE">
        <w:rPr>
          <w:sz w:val="22"/>
          <w:szCs w:val="22"/>
        </w:rPr>
        <w:t>17.2</w:t>
      </w:r>
      <w:r w:rsidR="00425D40" w:rsidRPr="00A32BEE">
        <w:rPr>
          <w:sz w:val="22"/>
          <w:szCs w:val="22"/>
        </w:rPr>
        <w:t xml:space="preserve">% weight), </w:t>
      </w:r>
      <w:r w:rsidR="00A32BEE" w:rsidRPr="00A32BEE">
        <w:rPr>
          <w:sz w:val="22"/>
          <w:szCs w:val="22"/>
        </w:rPr>
        <w:t>Industrials (15.8%) and Information Technology</w:t>
      </w:r>
      <w:r w:rsidR="00425D40" w:rsidRPr="00A32BEE">
        <w:rPr>
          <w:sz w:val="22"/>
          <w:szCs w:val="22"/>
        </w:rPr>
        <w:t xml:space="preserve"> (</w:t>
      </w:r>
      <w:r w:rsidR="00A32BEE" w:rsidRPr="00A32BEE">
        <w:rPr>
          <w:sz w:val="22"/>
          <w:szCs w:val="22"/>
        </w:rPr>
        <w:t>9.6</w:t>
      </w:r>
      <w:r w:rsidR="00425D40" w:rsidRPr="00A32BEE">
        <w:rPr>
          <w:sz w:val="22"/>
          <w:szCs w:val="22"/>
        </w:rPr>
        <w:t>%) sectors.</w:t>
      </w:r>
      <w:r w:rsidR="00425D40" w:rsidRPr="00A32BEE">
        <w:rPr>
          <w:sz w:val="22"/>
          <w:szCs w:val="22"/>
        </w:rPr>
        <w:br/>
      </w:r>
      <w:r w:rsidR="00425D40">
        <w:rPr>
          <w:sz w:val="22"/>
          <w:szCs w:val="22"/>
        </w:rPr>
        <w:br/>
      </w:r>
      <w:r w:rsidR="00425D40" w:rsidRPr="00CD624B">
        <w:rPr>
          <w:sz w:val="22"/>
          <w:szCs w:val="22"/>
        </w:rPr>
        <w:t>For the year to date, the S&amp;P/TSX</w:t>
      </w:r>
      <w:r w:rsidR="00425D40">
        <w:rPr>
          <w:sz w:val="22"/>
          <w:szCs w:val="22"/>
        </w:rPr>
        <w:t xml:space="preserve"> Composite Index</w:t>
      </w:r>
      <w:r w:rsidR="00D91A94">
        <w:rPr>
          <w:sz w:val="22"/>
          <w:szCs w:val="22"/>
        </w:rPr>
        <w:t xml:space="preserve"> increased 17.</w:t>
      </w:r>
      <w:r w:rsidR="00A32BEE">
        <w:rPr>
          <w:sz w:val="22"/>
          <w:szCs w:val="22"/>
        </w:rPr>
        <w:t>5</w:t>
      </w:r>
      <w:r w:rsidR="00D91A94">
        <w:rPr>
          <w:sz w:val="22"/>
          <w:szCs w:val="22"/>
        </w:rPr>
        <w:t>%,</w:t>
      </w:r>
      <w:r w:rsidR="00425D40">
        <w:rPr>
          <w:sz w:val="22"/>
          <w:szCs w:val="22"/>
        </w:rPr>
        <w:t xml:space="preserve"> </w:t>
      </w:r>
      <w:r w:rsidR="00425D40" w:rsidRPr="00CD624B">
        <w:rPr>
          <w:sz w:val="22"/>
          <w:szCs w:val="22"/>
        </w:rPr>
        <w:t xml:space="preserve">the S&amp;P 500 Index </w:t>
      </w:r>
      <w:r w:rsidR="009D2012">
        <w:rPr>
          <w:sz w:val="22"/>
          <w:szCs w:val="22"/>
        </w:rPr>
        <w:t>rose 1</w:t>
      </w:r>
      <w:r w:rsidR="00F95C01">
        <w:rPr>
          <w:sz w:val="22"/>
          <w:szCs w:val="22"/>
        </w:rPr>
        <w:t>5</w:t>
      </w:r>
      <w:r w:rsidR="009D2012">
        <w:rPr>
          <w:sz w:val="22"/>
          <w:szCs w:val="22"/>
        </w:rPr>
        <w:t>.</w:t>
      </w:r>
      <w:r w:rsidR="00A32BEE">
        <w:rPr>
          <w:sz w:val="22"/>
          <w:szCs w:val="22"/>
        </w:rPr>
        <w:t>9</w:t>
      </w:r>
      <w:r w:rsidR="009D2012">
        <w:rPr>
          <w:sz w:val="22"/>
          <w:szCs w:val="22"/>
        </w:rPr>
        <w:t xml:space="preserve">% </w:t>
      </w:r>
      <w:r w:rsidR="00425D40" w:rsidRPr="00CD624B">
        <w:rPr>
          <w:sz w:val="22"/>
          <w:szCs w:val="22"/>
        </w:rPr>
        <w:t xml:space="preserve">and </w:t>
      </w:r>
      <w:r w:rsidR="00425D40" w:rsidRPr="00A32BEE">
        <w:rPr>
          <w:sz w:val="22"/>
          <w:szCs w:val="22"/>
        </w:rPr>
        <w:t xml:space="preserve">the MSCI EAFE Index was </w:t>
      </w:r>
      <w:r w:rsidR="00A32BEE" w:rsidRPr="00A32BEE">
        <w:rPr>
          <w:sz w:val="22"/>
          <w:szCs w:val="22"/>
        </w:rPr>
        <w:t>up 8.2%.</w:t>
      </w:r>
      <w:r w:rsidR="00CF4D62" w:rsidRPr="00A32BEE">
        <w:rPr>
          <w:sz w:val="22"/>
          <w:szCs w:val="22"/>
        </w:rPr>
        <w:br/>
      </w:r>
      <w:proofErr w:type="gramStart"/>
      <w:r w:rsidR="00213AB1" w:rsidRPr="00A32BEE">
        <w:rPr>
          <w:sz w:val="22"/>
          <w:szCs w:val="22"/>
        </w:rPr>
        <w:t>U.S</w:t>
      </w:r>
      <w:proofErr w:type="gramEnd"/>
      <w:r w:rsidR="00213AB1" w:rsidRPr="00A32BEE">
        <w:rPr>
          <w:sz w:val="22"/>
          <w:szCs w:val="22"/>
        </w:rPr>
        <w:t>, Canadian and global equity markets sta</w:t>
      </w:r>
      <w:r w:rsidR="003960E3" w:rsidRPr="00A32BEE">
        <w:rPr>
          <w:sz w:val="22"/>
          <w:szCs w:val="22"/>
        </w:rPr>
        <w:t>rt</w:t>
      </w:r>
      <w:r w:rsidR="008A3B3E" w:rsidRPr="00A32BEE">
        <w:rPr>
          <w:sz w:val="22"/>
          <w:szCs w:val="22"/>
        </w:rPr>
        <w:t>ed</w:t>
      </w:r>
      <w:r w:rsidR="008A3B3E">
        <w:rPr>
          <w:sz w:val="22"/>
          <w:szCs w:val="22"/>
        </w:rPr>
        <w:t xml:space="preserve"> the quarter brightly</w:t>
      </w:r>
      <w:r w:rsidR="00213AB1" w:rsidRPr="00213AB1">
        <w:rPr>
          <w:sz w:val="22"/>
          <w:szCs w:val="22"/>
        </w:rPr>
        <w:t xml:space="preserve">. By the end of August, equities had </w:t>
      </w:r>
      <w:r w:rsidR="00213AB1" w:rsidRPr="00213AB1">
        <w:rPr>
          <w:sz w:val="22"/>
          <w:szCs w:val="22"/>
        </w:rPr>
        <w:lastRenderedPageBreak/>
        <w:t>notched a seventh straight month of gains, with the S&amp;P 500 Index finishing near its all-time high and the TSX Composite Index on its longest winning streak in four years. Markets then dipped</w:t>
      </w:r>
      <w:r w:rsidR="008A3B3E">
        <w:rPr>
          <w:sz w:val="22"/>
          <w:szCs w:val="22"/>
        </w:rPr>
        <w:t xml:space="preserve"> over concern about</w:t>
      </w:r>
      <w:r w:rsidR="00213AB1" w:rsidRPr="00213AB1">
        <w:rPr>
          <w:sz w:val="22"/>
          <w:szCs w:val="22"/>
        </w:rPr>
        <w:t xml:space="preserve"> inflation, the U.S. d</w:t>
      </w:r>
      <w:r w:rsidR="008A3B3E">
        <w:rPr>
          <w:sz w:val="22"/>
          <w:szCs w:val="22"/>
        </w:rPr>
        <w:t>ebt ceiling, the Evergrande</w:t>
      </w:r>
      <w:r w:rsidR="00213AB1" w:rsidRPr="00213AB1">
        <w:rPr>
          <w:sz w:val="22"/>
          <w:szCs w:val="22"/>
        </w:rPr>
        <w:t xml:space="preserve"> crisis in China and speculation on when the Fed’s bond t</w:t>
      </w:r>
      <w:r w:rsidR="008A3B3E">
        <w:rPr>
          <w:sz w:val="22"/>
          <w:szCs w:val="22"/>
        </w:rPr>
        <w:t xml:space="preserve">aper would begin, before finishing Q3 close to previous </w:t>
      </w:r>
      <w:r w:rsidR="00213AB1" w:rsidRPr="00213AB1">
        <w:rPr>
          <w:sz w:val="22"/>
          <w:szCs w:val="22"/>
        </w:rPr>
        <w:t>highs.</w:t>
      </w:r>
    </w:p>
    <w:p w14:paraId="60FAFA6D" w14:textId="77777777" w:rsidR="00A204AC" w:rsidRPr="00CF4D62" w:rsidRDefault="00213AB1" w:rsidP="00CF4D62">
      <w:pPr>
        <w:pStyle w:val="xmsonormal"/>
        <w:shd w:val="clear" w:color="auto" w:fill="FFFFFF"/>
        <w:rPr>
          <w:sz w:val="22"/>
          <w:szCs w:val="22"/>
          <w:lang w:val="en-CA"/>
        </w:rPr>
      </w:pPr>
      <w:r w:rsidRPr="00213AB1">
        <w:rPr>
          <w:sz w:val="22"/>
          <w:szCs w:val="22"/>
          <w:lang w:val="en-CA"/>
        </w:rPr>
        <w:t>Fixed income markets remained calm and U.S. treasury yields steady on the Fed’s reassuring comments about its bond tapering plans, a potential rate hike next year and the current inflation spike being temporary. The treasury yield curve flattened somewhat as yields on all but the longe</w:t>
      </w:r>
      <w:r>
        <w:rPr>
          <w:sz w:val="22"/>
          <w:szCs w:val="22"/>
          <w:lang w:val="en-CA"/>
        </w:rPr>
        <w:t>st-term US government bonds increased.</w:t>
      </w:r>
      <w:r>
        <w:rPr>
          <w:sz w:val="22"/>
          <w:szCs w:val="22"/>
          <w:lang w:val="en-CA"/>
        </w:rPr>
        <w:br/>
      </w:r>
      <w:r>
        <w:rPr>
          <w:sz w:val="22"/>
          <w:szCs w:val="22"/>
          <w:lang w:val="en-CA"/>
        </w:rPr>
        <w:br/>
      </w:r>
      <w:r w:rsidRPr="00213AB1">
        <w:rPr>
          <w:sz w:val="22"/>
          <w:szCs w:val="22"/>
          <w:lang w:val="en-CA"/>
        </w:rPr>
        <w:t>In foreign exchan</w:t>
      </w:r>
      <w:r w:rsidR="00A406EE">
        <w:rPr>
          <w:sz w:val="22"/>
          <w:szCs w:val="22"/>
          <w:lang w:val="en-CA"/>
        </w:rPr>
        <w:t xml:space="preserve">ge markets, the Canadian loonie </w:t>
      </w:r>
      <w:r w:rsidRPr="00213AB1">
        <w:rPr>
          <w:sz w:val="22"/>
          <w:szCs w:val="22"/>
          <w:lang w:val="en-CA"/>
        </w:rPr>
        <w:t>a</w:t>
      </w:r>
      <w:r w:rsidR="00A406EE">
        <w:rPr>
          <w:sz w:val="22"/>
          <w:szCs w:val="22"/>
          <w:lang w:val="en-CA"/>
        </w:rPr>
        <w:t>ppreciated against the U.S. dollar</w:t>
      </w:r>
      <w:r w:rsidRPr="00213AB1">
        <w:rPr>
          <w:sz w:val="22"/>
          <w:szCs w:val="22"/>
          <w:lang w:val="en-CA"/>
        </w:rPr>
        <w:t xml:space="preserve"> and other G10 currencies due to rising oil prices and the</w:t>
      </w:r>
      <w:r w:rsidR="006F2F02">
        <w:rPr>
          <w:sz w:val="22"/>
          <w:szCs w:val="22"/>
          <w:lang w:val="en-CA"/>
        </w:rPr>
        <w:t xml:space="preserve"> Canadian federal election</w:t>
      </w:r>
      <w:r w:rsidR="00A406EE">
        <w:rPr>
          <w:sz w:val="22"/>
          <w:szCs w:val="22"/>
          <w:lang w:val="en-CA"/>
        </w:rPr>
        <w:t xml:space="preserve"> outcome</w:t>
      </w:r>
      <w:r w:rsidR="006F2F02">
        <w:rPr>
          <w:sz w:val="22"/>
          <w:szCs w:val="22"/>
          <w:lang w:val="en-CA"/>
        </w:rPr>
        <w:t xml:space="preserve">. </w:t>
      </w:r>
      <w:r w:rsidR="00CF4D62">
        <w:rPr>
          <w:sz w:val="22"/>
          <w:szCs w:val="22"/>
          <w:lang w:val="en-CA"/>
        </w:rPr>
        <w:t>Oil prices surged</w:t>
      </w:r>
      <w:r w:rsidRPr="00213AB1">
        <w:rPr>
          <w:sz w:val="22"/>
          <w:szCs w:val="22"/>
          <w:lang w:val="en-CA"/>
        </w:rPr>
        <w:t xml:space="preserve"> following the threat of Hurricane Nicholas in the U.S. gulf and depleting U.S. </w:t>
      </w:r>
      <w:r w:rsidR="00CF4D62">
        <w:rPr>
          <w:sz w:val="22"/>
          <w:szCs w:val="22"/>
          <w:lang w:val="en-CA"/>
        </w:rPr>
        <w:t>crude inventories before declining</w:t>
      </w:r>
      <w:r w:rsidRPr="00213AB1">
        <w:rPr>
          <w:sz w:val="22"/>
          <w:szCs w:val="22"/>
          <w:lang w:val="en-CA"/>
        </w:rPr>
        <w:t xml:space="preserve"> on Russian plans to increase expo</w:t>
      </w:r>
      <w:r w:rsidR="00CF4D62">
        <w:rPr>
          <w:sz w:val="22"/>
          <w:szCs w:val="22"/>
          <w:lang w:val="en-CA"/>
        </w:rPr>
        <w:t xml:space="preserve">rts. The </w:t>
      </w:r>
      <w:r>
        <w:rPr>
          <w:sz w:val="22"/>
          <w:szCs w:val="22"/>
          <w:lang w:val="en-CA"/>
        </w:rPr>
        <w:t>debt crisis</w:t>
      </w:r>
      <w:r w:rsidR="00CF4D62">
        <w:rPr>
          <w:sz w:val="22"/>
          <w:szCs w:val="22"/>
          <w:lang w:val="en-CA"/>
        </w:rPr>
        <w:t xml:space="preserve"> of the mega Chinese property developer Evergrande </w:t>
      </w:r>
      <w:r>
        <w:rPr>
          <w:sz w:val="22"/>
          <w:szCs w:val="22"/>
          <w:lang w:val="en-CA"/>
        </w:rPr>
        <w:t xml:space="preserve">at the tail end </w:t>
      </w:r>
      <w:r w:rsidRPr="00213AB1">
        <w:rPr>
          <w:sz w:val="22"/>
          <w:szCs w:val="22"/>
          <w:lang w:val="en-CA"/>
        </w:rPr>
        <w:t>of the quarter then caused the oil p</w:t>
      </w:r>
      <w:r w:rsidR="007B56F5">
        <w:rPr>
          <w:sz w:val="22"/>
          <w:szCs w:val="22"/>
          <w:lang w:val="en-CA"/>
        </w:rPr>
        <w:t>rices and ene</w:t>
      </w:r>
      <w:r w:rsidR="00CF4D62">
        <w:rPr>
          <w:sz w:val="22"/>
          <w:szCs w:val="22"/>
          <w:lang w:val="en-CA"/>
        </w:rPr>
        <w:t>rgy stocks to climb</w:t>
      </w:r>
      <w:r w:rsidRPr="00213AB1">
        <w:rPr>
          <w:sz w:val="22"/>
          <w:szCs w:val="22"/>
          <w:lang w:val="en-CA"/>
        </w:rPr>
        <w:t xml:space="preserve"> again.</w:t>
      </w:r>
      <w:r w:rsidR="006F2F02">
        <w:rPr>
          <w:sz w:val="22"/>
          <w:szCs w:val="22"/>
          <w:lang w:val="en-CA"/>
        </w:rPr>
        <w:br/>
      </w:r>
      <w:r w:rsidR="006F2F02">
        <w:rPr>
          <w:sz w:val="22"/>
          <w:szCs w:val="22"/>
          <w:lang w:val="en-CA"/>
        </w:rPr>
        <w:br/>
      </w:r>
      <w:r w:rsidRPr="00213AB1">
        <w:rPr>
          <w:sz w:val="22"/>
          <w:szCs w:val="22"/>
          <w:lang w:val="en-CA"/>
        </w:rPr>
        <w:t>Closer to home, Canadian ETF inflows topped more than C$4.9 billion with total a</w:t>
      </w:r>
      <w:r w:rsidR="006F2F02">
        <w:rPr>
          <w:sz w:val="22"/>
          <w:szCs w:val="22"/>
          <w:lang w:val="en-CA"/>
        </w:rPr>
        <w:t xml:space="preserve">ssets growing to C$302 billion. </w:t>
      </w:r>
      <w:r w:rsidR="007B56F5">
        <w:rPr>
          <w:sz w:val="22"/>
          <w:szCs w:val="22"/>
          <w:lang w:val="en-CA"/>
        </w:rPr>
        <w:t>CI Global Asset Management</w:t>
      </w:r>
      <w:r w:rsidR="006F2F02">
        <w:rPr>
          <w:sz w:val="22"/>
          <w:szCs w:val="22"/>
          <w:lang w:val="en-CA"/>
        </w:rPr>
        <w:t xml:space="preserve"> </w:t>
      </w:r>
      <w:r w:rsidRPr="00213AB1">
        <w:rPr>
          <w:sz w:val="22"/>
          <w:szCs w:val="22"/>
          <w:lang w:val="en-CA"/>
        </w:rPr>
        <w:t>launched a new suite of five CI Beta ETFs</w:t>
      </w:r>
      <w:r w:rsidR="006F2F02">
        <w:rPr>
          <w:sz w:val="22"/>
          <w:szCs w:val="22"/>
          <w:lang w:val="en-CA"/>
        </w:rPr>
        <w:t xml:space="preserve"> </w:t>
      </w:r>
      <w:r w:rsidR="006F2F02" w:rsidRPr="00A72FB6">
        <w:rPr>
          <w:sz w:val="22"/>
          <w:szCs w:val="22"/>
          <w:lang w:val="en-CA"/>
        </w:rPr>
        <w:t>that provide targeted low-cost exposure to broad markets and sectors</w:t>
      </w:r>
      <w:r w:rsidR="006F2F02">
        <w:rPr>
          <w:sz w:val="22"/>
          <w:szCs w:val="22"/>
          <w:lang w:val="en-CA"/>
        </w:rPr>
        <w:t xml:space="preserve"> </w:t>
      </w:r>
      <w:r w:rsidR="00DE1BEB">
        <w:rPr>
          <w:sz w:val="22"/>
          <w:szCs w:val="22"/>
          <w:lang w:val="en-CA"/>
        </w:rPr>
        <w:t xml:space="preserve">as well as </w:t>
      </w:r>
      <w:r w:rsidR="00957978">
        <w:rPr>
          <w:sz w:val="22"/>
          <w:szCs w:val="22"/>
          <w:lang w:val="en-CA"/>
        </w:rPr>
        <w:t>added three</w:t>
      </w:r>
      <w:r w:rsidRPr="00213AB1">
        <w:rPr>
          <w:sz w:val="22"/>
          <w:szCs w:val="22"/>
          <w:lang w:val="en-CA"/>
        </w:rPr>
        <w:t xml:space="preserve"> ETFs to our existing </w:t>
      </w:r>
      <w:r w:rsidR="00A406EE">
        <w:rPr>
          <w:sz w:val="22"/>
          <w:szCs w:val="22"/>
          <w:lang w:val="en-CA"/>
        </w:rPr>
        <w:t xml:space="preserve">CI </w:t>
      </w:r>
      <w:r w:rsidRPr="00213AB1">
        <w:rPr>
          <w:sz w:val="22"/>
          <w:szCs w:val="22"/>
          <w:lang w:val="en-CA"/>
        </w:rPr>
        <w:t>Alpha ETF l</w:t>
      </w:r>
      <w:r w:rsidR="007B56F5">
        <w:rPr>
          <w:sz w:val="22"/>
          <w:szCs w:val="22"/>
          <w:lang w:val="en-CA"/>
        </w:rPr>
        <w:t xml:space="preserve">ine-up. </w:t>
      </w:r>
      <w:r w:rsidR="006F2F02">
        <w:rPr>
          <w:sz w:val="22"/>
          <w:szCs w:val="22"/>
          <w:lang w:val="en-CA"/>
        </w:rPr>
        <w:t>We also</w:t>
      </w:r>
      <w:r w:rsidR="007B56F5">
        <w:rPr>
          <w:sz w:val="22"/>
          <w:szCs w:val="22"/>
          <w:lang w:val="en-CA"/>
        </w:rPr>
        <w:t xml:space="preserve"> introduced a </w:t>
      </w:r>
      <w:r w:rsidRPr="00213AB1">
        <w:rPr>
          <w:sz w:val="22"/>
          <w:szCs w:val="22"/>
          <w:lang w:val="en-CA"/>
        </w:rPr>
        <w:t>climate in</w:t>
      </w:r>
      <w:r w:rsidR="007B56F5">
        <w:rPr>
          <w:sz w:val="22"/>
          <w:szCs w:val="22"/>
          <w:lang w:val="en-CA"/>
        </w:rPr>
        <w:t>vesting mutual fund and ETF</w:t>
      </w:r>
      <w:r w:rsidRPr="00213AB1">
        <w:rPr>
          <w:sz w:val="22"/>
          <w:szCs w:val="22"/>
          <w:lang w:val="en-CA"/>
        </w:rPr>
        <w:t>, the CI Global Climate Leaders fund.</w:t>
      </w:r>
      <w:r w:rsidR="00CF4D62">
        <w:rPr>
          <w:sz w:val="22"/>
          <w:szCs w:val="22"/>
          <w:lang w:val="en-CA"/>
        </w:rPr>
        <w:br/>
      </w:r>
      <w:r w:rsidR="00CF4D62">
        <w:rPr>
          <w:sz w:val="22"/>
          <w:szCs w:val="22"/>
          <w:lang w:val="en-CA"/>
        </w:rPr>
        <w:br/>
      </w:r>
      <w:r w:rsidR="00CD624B" w:rsidRPr="00CD624B">
        <w:rPr>
          <w:b/>
          <w:bCs/>
          <w:sz w:val="22"/>
          <w:szCs w:val="22"/>
        </w:rPr>
        <w:t>What we can expect now?</w:t>
      </w:r>
      <w:r w:rsidR="00CF4D62">
        <w:rPr>
          <w:sz w:val="22"/>
          <w:szCs w:val="22"/>
          <w:lang w:val="en-CA"/>
        </w:rPr>
        <w:br/>
      </w:r>
      <w:r w:rsidR="00CF4D62">
        <w:rPr>
          <w:sz w:val="22"/>
          <w:szCs w:val="22"/>
          <w:lang w:val="en-CA"/>
        </w:rPr>
        <w:br/>
      </w:r>
      <w:r w:rsidR="00392131" w:rsidRPr="00392131">
        <w:rPr>
          <w:sz w:val="22"/>
          <w:szCs w:val="22"/>
        </w:rPr>
        <w:t xml:space="preserve">The accommodative monetary policies of </w:t>
      </w:r>
      <w:r w:rsidR="00392131" w:rsidRPr="00392131">
        <w:rPr>
          <w:sz w:val="22"/>
          <w:szCs w:val="22"/>
          <w:lang w:val="en-CA"/>
        </w:rPr>
        <w:t>major central banks</w:t>
      </w:r>
      <w:r w:rsidR="00392131" w:rsidRPr="00392131">
        <w:rPr>
          <w:sz w:val="22"/>
          <w:szCs w:val="22"/>
        </w:rPr>
        <w:t xml:space="preserve"> are beginning to be pared back so it’s natural we might experience some near-term setbacks and volatility as</w:t>
      </w:r>
      <w:r w:rsidR="00A406EE">
        <w:rPr>
          <w:sz w:val="22"/>
          <w:szCs w:val="22"/>
        </w:rPr>
        <w:t xml:space="preserve"> market</w:t>
      </w:r>
      <w:r w:rsidR="00392131" w:rsidRPr="00392131">
        <w:rPr>
          <w:sz w:val="22"/>
          <w:szCs w:val="22"/>
        </w:rPr>
        <w:t xml:space="preserve"> conditions shift. The pace of growth will likely be slower but this is understandable as we are coming off a rec</w:t>
      </w:r>
      <w:r w:rsidR="00A406EE">
        <w:rPr>
          <w:sz w:val="22"/>
          <w:szCs w:val="22"/>
        </w:rPr>
        <w:t>ord breaking 12 months of</w:t>
      </w:r>
      <w:r w:rsidR="00392131" w:rsidRPr="00392131">
        <w:rPr>
          <w:sz w:val="22"/>
          <w:szCs w:val="22"/>
        </w:rPr>
        <w:t xml:space="preserve"> performance. Overall, the outlook remains positive driven by strong economic fundamentals and</w:t>
      </w:r>
      <w:r w:rsidR="00CF4D62">
        <w:rPr>
          <w:sz w:val="22"/>
          <w:szCs w:val="22"/>
        </w:rPr>
        <w:t xml:space="preserve"> corporate earnings.</w:t>
      </w:r>
      <w:r w:rsidR="00CF4D62">
        <w:rPr>
          <w:sz w:val="22"/>
          <w:szCs w:val="22"/>
        </w:rPr>
        <w:br/>
      </w:r>
      <w:r w:rsidR="00CF4D62">
        <w:rPr>
          <w:sz w:val="22"/>
          <w:szCs w:val="22"/>
        </w:rPr>
        <w:br/>
      </w:r>
      <w:r w:rsidR="005D6E97" w:rsidRPr="007B56F5">
        <w:rPr>
          <w:sz w:val="22"/>
          <w:szCs w:val="22"/>
          <w:lang w:val="en-CA"/>
        </w:rPr>
        <w:t xml:space="preserve">Regardless of where we are in the market cycle, it’s important to take a disciplined approach to investing and stay focused on your long-term financial goals. This strategy helps you keep your emotions out of investing – typically buying high and selling low like many investors do. </w:t>
      </w:r>
      <w:r w:rsidR="00CF4D62">
        <w:rPr>
          <w:sz w:val="22"/>
          <w:szCs w:val="22"/>
          <w:lang w:val="en-CA"/>
        </w:rPr>
        <w:br/>
      </w:r>
      <w:r w:rsidR="00CF4D62">
        <w:rPr>
          <w:sz w:val="22"/>
          <w:szCs w:val="22"/>
          <w:lang w:val="en-CA"/>
        </w:rPr>
        <w:br/>
      </w:r>
      <w:r w:rsidR="005D6E97" w:rsidRPr="007B56F5">
        <w:rPr>
          <w:sz w:val="22"/>
          <w:szCs w:val="22"/>
          <w:lang w:val="en-CA"/>
        </w:rPr>
        <w:t xml:space="preserve">We recommend you maintain a diversified mix of asset classes in your portfolio to maximize potential returns and minimize risk. </w:t>
      </w:r>
      <w:r w:rsidR="00A406EE" w:rsidRPr="00CD624B">
        <w:rPr>
          <w:sz w:val="22"/>
          <w:szCs w:val="22"/>
          <w:lang w:val="en-CA"/>
        </w:rPr>
        <w:t>Regularly reviewing and rebalancing your portfolio back to the target asset mix we created</w:t>
      </w:r>
      <w:r w:rsidR="00A406EE">
        <w:rPr>
          <w:sz w:val="22"/>
          <w:szCs w:val="22"/>
          <w:lang w:val="en-CA"/>
        </w:rPr>
        <w:t xml:space="preserve"> also</w:t>
      </w:r>
      <w:r w:rsidR="00A406EE" w:rsidRPr="00CD624B">
        <w:rPr>
          <w:sz w:val="22"/>
          <w:szCs w:val="22"/>
          <w:lang w:val="en-CA"/>
        </w:rPr>
        <w:t xml:space="preserve"> ensure</w:t>
      </w:r>
      <w:r w:rsidR="00A406EE">
        <w:rPr>
          <w:sz w:val="22"/>
          <w:szCs w:val="22"/>
          <w:lang w:val="en-CA"/>
        </w:rPr>
        <w:t>s</w:t>
      </w:r>
      <w:r w:rsidR="00A406EE" w:rsidRPr="00CD624B">
        <w:rPr>
          <w:sz w:val="22"/>
          <w:szCs w:val="22"/>
          <w:lang w:val="en-CA"/>
        </w:rPr>
        <w:t xml:space="preserve"> it rem</w:t>
      </w:r>
      <w:r w:rsidR="00A406EE">
        <w:rPr>
          <w:sz w:val="22"/>
          <w:szCs w:val="22"/>
          <w:lang w:val="en-CA"/>
        </w:rPr>
        <w:t>ains aligned with your</w:t>
      </w:r>
      <w:r w:rsidR="00A406EE" w:rsidRPr="00CD624B">
        <w:rPr>
          <w:sz w:val="22"/>
          <w:szCs w:val="22"/>
          <w:lang w:val="en-CA"/>
        </w:rPr>
        <w:t xml:space="preserve"> goals.</w:t>
      </w:r>
      <w:r w:rsidR="00CF4D62">
        <w:rPr>
          <w:sz w:val="22"/>
          <w:szCs w:val="22"/>
        </w:rPr>
        <w:br/>
      </w:r>
      <w:r w:rsidR="00CF4D62">
        <w:rPr>
          <w:sz w:val="22"/>
          <w:szCs w:val="22"/>
        </w:rPr>
        <w:br/>
      </w:r>
      <w:r w:rsidR="005D6E97" w:rsidRPr="007B56F5">
        <w:rPr>
          <w:sz w:val="22"/>
          <w:szCs w:val="22"/>
        </w:rPr>
        <w:t>Thank you for your continued trust in me and my team for the opportunity to assist you in working toward your financial goals. We are with you every step of your investment journey, identifying strategies and opportunities, reviewing performance and rebalancing y</w:t>
      </w:r>
      <w:r w:rsidR="00A406EE">
        <w:rPr>
          <w:sz w:val="22"/>
          <w:szCs w:val="22"/>
        </w:rPr>
        <w:t>our portfolio to keep you</w:t>
      </w:r>
      <w:r w:rsidR="005D6E97" w:rsidRPr="007B56F5">
        <w:rPr>
          <w:sz w:val="22"/>
          <w:szCs w:val="22"/>
        </w:rPr>
        <w:t xml:space="preserve"> on track. Should you have any questions regarding your portfolio, please do not hesitate to contact my office.</w:t>
      </w:r>
      <w:r w:rsidR="00CF4D62">
        <w:br/>
      </w:r>
      <w:r w:rsidR="00CF4D62">
        <w:br/>
      </w:r>
      <w:r w:rsidR="00D36E83" w:rsidRPr="0003633C">
        <w:rPr>
          <w:i/>
          <w:iCs/>
          <w:sz w:val="22"/>
          <w:szCs w:val="22"/>
        </w:rPr>
        <w:t xml:space="preserve">The information in this letter is derived from various sources, including </w:t>
      </w:r>
      <w:r w:rsidR="00591631" w:rsidRPr="00077200">
        <w:rPr>
          <w:i/>
          <w:iCs/>
          <w:sz w:val="22"/>
          <w:szCs w:val="22"/>
          <w:lang w:val="en-CA"/>
        </w:rPr>
        <w:t xml:space="preserve">CI Global Asset Management, Globe and Mail, National Post, Wall Street Journal, </w:t>
      </w:r>
      <w:r w:rsidR="00591631">
        <w:rPr>
          <w:i/>
          <w:iCs/>
          <w:sz w:val="22"/>
          <w:szCs w:val="22"/>
          <w:lang w:val="en-CA"/>
        </w:rPr>
        <w:t xml:space="preserve">MarketWatch, </w:t>
      </w:r>
      <w:r w:rsidR="00591631" w:rsidRPr="00077200">
        <w:rPr>
          <w:i/>
          <w:iCs/>
          <w:sz w:val="22"/>
          <w:szCs w:val="22"/>
          <w:lang w:val="en-CA"/>
        </w:rPr>
        <w:t>Bloomberg, Reuters, Inve</w:t>
      </w:r>
      <w:r w:rsidR="00591631">
        <w:rPr>
          <w:i/>
          <w:iCs/>
          <w:sz w:val="22"/>
          <w:szCs w:val="22"/>
          <w:lang w:val="en-CA"/>
        </w:rPr>
        <w:t>stment Executive</w:t>
      </w:r>
      <w:r w:rsidR="00591631" w:rsidRPr="00077200">
        <w:rPr>
          <w:i/>
          <w:iCs/>
          <w:sz w:val="22"/>
          <w:szCs w:val="22"/>
          <w:lang w:val="en-CA"/>
        </w:rPr>
        <w:t xml:space="preserve">, Bank of Canada and Statistics Canada as </w:t>
      </w:r>
      <w:r w:rsidR="00591631">
        <w:rPr>
          <w:i/>
          <w:iCs/>
          <w:sz w:val="22"/>
          <w:szCs w:val="22"/>
          <w:lang w:val="en-CA"/>
        </w:rPr>
        <w:t>at various dates</w:t>
      </w:r>
      <w:r w:rsidR="00933D05">
        <w:rPr>
          <w:i/>
          <w:iCs/>
          <w:sz w:val="22"/>
          <w:szCs w:val="22"/>
        </w:rPr>
        <w:t>.</w:t>
      </w:r>
      <w:r w:rsidR="00D36E83" w:rsidRPr="0003633C">
        <w:rPr>
          <w:i/>
          <w:iCs/>
          <w:sz w:val="22"/>
          <w:szCs w:val="22"/>
        </w:rPr>
        <w:t>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sectPr w:rsidR="00A204AC" w:rsidRPr="00CF4D62" w:rsidSect="002C3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26"/>
    <w:rsid w:val="00016335"/>
    <w:rsid w:val="000936F7"/>
    <w:rsid w:val="000B4450"/>
    <w:rsid w:val="001E27F1"/>
    <w:rsid w:val="00201D16"/>
    <w:rsid w:val="00213AB1"/>
    <w:rsid w:val="002265FA"/>
    <w:rsid w:val="002A4FC6"/>
    <w:rsid w:val="002C32B6"/>
    <w:rsid w:val="002C606E"/>
    <w:rsid w:val="00347258"/>
    <w:rsid w:val="0036278E"/>
    <w:rsid w:val="00392131"/>
    <w:rsid w:val="003960E3"/>
    <w:rsid w:val="003C021E"/>
    <w:rsid w:val="00425D40"/>
    <w:rsid w:val="0052273E"/>
    <w:rsid w:val="00531CFE"/>
    <w:rsid w:val="00563771"/>
    <w:rsid w:val="00591631"/>
    <w:rsid w:val="005D6E97"/>
    <w:rsid w:val="0060216B"/>
    <w:rsid w:val="006710AF"/>
    <w:rsid w:val="00671A91"/>
    <w:rsid w:val="006B0EDC"/>
    <w:rsid w:val="006F2F02"/>
    <w:rsid w:val="007476D9"/>
    <w:rsid w:val="00762DB9"/>
    <w:rsid w:val="007B09D1"/>
    <w:rsid w:val="007B56F5"/>
    <w:rsid w:val="007D16D3"/>
    <w:rsid w:val="007D1A09"/>
    <w:rsid w:val="00800934"/>
    <w:rsid w:val="008578E3"/>
    <w:rsid w:val="008A3B3E"/>
    <w:rsid w:val="008D07DB"/>
    <w:rsid w:val="008F3D8F"/>
    <w:rsid w:val="009209A2"/>
    <w:rsid w:val="00924AB4"/>
    <w:rsid w:val="00931238"/>
    <w:rsid w:val="00933D05"/>
    <w:rsid w:val="00950CA8"/>
    <w:rsid w:val="0095731E"/>
    <w:rsid w:val="00957978"/>
    <w:rsid w:val="00966466"/>
    <w:rsid w:val="009B4487"/>
    <w:rsid w:val="009D2012"/>
    <w:rsid w:val="009E4644"/>
    <w:rsid w:val="00A204AC"/>
    <w:rsid w:val="00A32BEE"/>
    <w:rsid w:val="00A406EE"/>
    <w:rsid w:val="00AF7010"/>
    <w:rsid w:val="00B23EAA"/>
    <w:rsid w:val="00B30D37"/>
    <w:rsid w:val="00B45F29"/>
    <w:rsid w:val="00BB3026"/>
    <w:rsid w:val="00BD6B93"/>
    <w:rsid w:val="00BF0069"/>
    <w:rsid w:val="00C51723"/>
    <w:rsid w:val="00C872E6"/>
    <w:rsid w:val="00CD624B"/>
    <w:rsid w:val="00CF4D62"/>
    <w:rsid w:val="00D36E83"/>
    <w:rsid w:val="00D91A94"/>
    <w:rsid w:val="00DB560D"/>
    <w:rsid w:val="00DD7DCC"/>
    <w:rsid w:val="00DE1BEB"/>
    <w:rsid w:val="00E65094"/>
    <w:rsid w:val="00EC41E1"/>
    <w:rsid w:val="00EF31A8"/>
    <w:rsid w:val="00F360BB"/>
    <w:rsid w:val="00F65FF7"/>
    <w:rsid w:val="00F95C01"/>
    <w:rsid w:val="00FB3F85"/>
    <w:rsid w:val="00FF3DB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4C5E"/>
  <w15:docId w15:val="{28497ABE-2E4D-4636-862D-A662D9B3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26"/>
    <w:rPr>
      <w:color w:val="0563C1" w:themeColor="hyperlink"/>
      <w:u w:val="single"/>
    </w:rPr>
  </w:style>
  <w:style w:type="character" w:customStyle="1" w:styleId="UnresolvedMention1">
    <w:name w:val="Unresolved Mention1"/>
    <w:basedOn w:val="DefaultParagraphFont"/>
    <w:uiPriority w:val="99"/>
    <w:semiHidden/>
    <w:unhideWhenUsed/>
    <w:rsid w:val="00BB3026"/>
    <w:rPr>
      <w:color w:val="605E5C"/>
      <w:shd w:val="clear" w:color="auto" w:fill="E1DFDD"/>
    </w:rPr>
  </w:style>
  <w:style w:type="character" w:styleId="FollowedHyperlink">
    <w:name w:val="FollowedHyperlink"/>
    <w:basedOn w:val="DefaultParagraphFont"/>
    <w:uiPriority w:val="99"/>
    <w:semiHidden/>
    <w:unhideWhenUsed/>
    <w:rsid w:val="006B0EDC"/>
    <w:rPr>
      <w:color w:val="954F72" w:themeColor="followedHyperlink"/>
      <w:u w:val="single"/>
    </w:rPr>
  </w:style>
  <w:style w:type="paragraph" w:customStyle="1" w:styleId="xmsonormal">
    <w:name w:val="x_msonormal"/>
    <w:basedOn w:val="Normal"/>
    <w:rsid w:val="00933D05"/>
    <w:pPr>
      <w:spacing w:before="100" w:beforeAutospacing="1" w:after="100" w:afterAutospacing="1"/>
    </w:pPr>
    <w:rPr>
      <w:lang w:val="en-US"/>
    </w:rPr>
  </w:style>
  <w:style w:type="paragraph" w:customStyle="1" w:styleId="Default">
    <w:name w:val="Default"/>
    <w:rsid w:val="00933D05"/>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130">
      <w:bodyDiv w:val="1"/>
      <w:marLeft w:val="0"/>
      <w:marRight w:val="0"/>
      <w:marTop w:val="0"/>
      <w:marBottom w:val="0"/>
      <w:divBdr>
        <w:top w:val="none" w:sz="0" w:space="0" w:color="auto"/>
        <w:left w:val="none" w:sz="0" w:space="0" w:color="auto"/>
        <w:bottom w:val="none" w:sz="0" w:space="0" w:color="auto"/>
        <w:right w:val="none" w:sz="0" w:space="0" w:color="auto"/>
      </w:divBdr>
    </w:div>
    <w:div w:id="1028995347">
      <w:bodyDiv w:val="1"/>
      <w:marLeft w:val="0"/>
      <w:marRight w:val="0"/>
      <w:marTop w:val="0"/>
      <w:marBottom w:val="0"/>
      <w:divBdr>
        <w:top w:val="none" w:sz="0" w:space="0" w:color="auto"/>
        <w:left w:val="none" w:sz="0" w:space="0" w:color="auto"/>
        <w:bottom w:val="none" w:sz="0" w:space="0" w:color="auto"/>
        <w:right w:val="none" w:sz="0" w:space="0" w:color="auto"/>
      </w:divBdr>
    </w:div>
    <w:div w:id="17529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Damji, Aly</cp:lastModifiedBy>
  <cp:revision>2</cp:revision>
  <dcterms:created xsi:type="dcterms:W3CDTF">2021-10-14T14:35:00Z</dcterms:created>
  <dcterms:modified xsi:type="dcterms:W3CDTF">2021-10-14T14:35:00Z</dcterms:modified>
</cp:coreProperties>
</file>