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E282" w14:textId="686C0D70" w:rsidR="00A07549" w:rsidRDefault="00A07549" w:rsidP="00A07549">
      <w:pPr>
        <w:spacing w:before="100" w:beforeAutospacing="1" w:after="100" w:afterAutospacing="1" w:line="240" w:lineRule="auto"/>
        <w:rPr>
          <w:rFonts w:ascii="Times New Roman" w:eastAsia="Times New Roman" w:hAnsi="Times New Roman" w:cs="Times New Roman"/>
          <w:kern w:val="0"/>
          <w:lang w:val="fr-FR"/>
          <w14:ligatures w14:val="none"/>
        </w:rPr>
      </w:pPr>
      <w:r w:rsidRPr="00706F2A">
        <w:rPr>
          <w:rFonts w:ascii="Times New Roman" w:eastAsia="Times New Roman" w:hAnsi="Times New Roman" w:cs="Times New Roman"/>
          <w:b/>
          <w:bCs/>
          <w:kern w:val="0"/>
          <w:lang w:val="fr-CA"/>
          <w14:ligatures w14:val="none"/>
        </w:rPr>
        <w:t>XX </w:t>
      </w:r>
      <w:r w:rsidRPr="00706F2A">
        <w:rPr>
          <w:rFonts w:ascii="Times New Roman" w:eastAsia="Calibri" w:hAnsi="Times New Roman" w:cs="Times New Roman"/>
          <w:b/>
          <w:bCs/>
          <w:lang w:val="fr-CA"/>
        </w:rPr>
        <w:t>février 2025</w:t>
      </w:r>
      <w:r>
        <w:rPr>
          <w:rFonts w:ascii="Times New Roman" w:eastAsia="Times New Roman" w:hAnsi="Times New Roman" w:cs="Times New Roman"/>
          <w:i/>
          <w:iCs/>
          <w:kern w:val="0"/>
          <w:lang w:val="fr-CA"/>
          <w14:ligatures w14:val="none"/>
        </w:rPr>
        <w:br/>
      </w:r>
      <w:r>
        <w:rPr>
          <w:rFonts w:ascii="Times New Roman" w:eastAsia="Times New Roman" w:hAnsi="Times New Roman" w:cs="Times New Roman"/>
          <w:i/>
          <w:iCs/>
          <w:kern w:val="0"/>
          <w:lang w:val="fr-CA"/>
          <w14:ligatures w14:val="none"/>
        </w:rPr>
        <w:br/>
      </w:r>
      <w:r>
        <w:rPr>
          <w:rFonts w:ascii="Times New Roman" w:eastAsia="Times New Roman" w:hAnsi="Times New Roman" w:cs="Times New Roman"/>
          <w:kern w:val="0"/>
          <w:lang w:val="fr-CA"/>
          <w14:ligatures w14:val="none"/>
        </w:rPr>
        <w:t>Chère cliente/Cher client,</w:t>
      </w:r>
    </w:p>
    <w:p w14:paraId="145F97E6" w14:textId="77777777" w:rsidR="00ED14CD" w:rsidRPr="00EB723A" w:rsidRDefault="00000000" w:rsidP="00ED14CD">
      <w:pPr>
        <w:rPr>
          <w:rFonts w:ascii="Calibri" w:hAnsi="Calibri" w:cs="Calibri"/>
        </w:rPr>
      </w:pPr>
      <w:r>
        <w:rPr>
          <w:rFonts w:ascii="Calibri" w:eastAsia="Calibri" w:hAnsi="Calibri" w:cs="Calibri"/>
          <w:lang w:val="fr-CA"/>
        </w:rPr>
        <w:t>Nous espérons que cette lettre vous trouvera en pleine forme. Dans le cadre de notre engagement continu à vous tenir informé(e) et à vous préparer aux changements survenant sur le marché, nous aimerions vous présenter un aperçu de la guerre commerciale actuelle avec les États-Unis et de ses implications potentielles pour les investisseurs canadiens.</w:t>
      </w:r>
    </w:p>
    <w:p w14:paraId="325301C3" w14:textId="77777777" w:rsidR="00ED14CD" w:rsidRPr="00EB723A" w:rsidRDefault="00000000" w:rsidP="00ED14CD">
      <w:pPr>
        <w:rPr>
          <w:rFonts w:ascii="Calibri" w:hAnsi="Calibri" w:cs="Calibri"/>
        </w:rPr>
      </w:pPr>
      <w:r>
        <w:rPr>
          <w:rFonts w:ascii="Calibri" w:eastAsia="Calibri" w:hAnsi="Calibri" w:cs="Calibri"/>
          <w:b/>
          <w:bCs/>
          <w:lang w:val="fr-CA"/>
        </w:rPr>
        <w:t>Aperçu de la guerre commerciale avec les États-Unis</w:t>
      </w:r>
    </w:p>
    <w:p w14:paraId="357759F3" w14:textId="77777777" w:rsidR="00ED14CD" w:rsidRPr="00EB723A" w:rsidRDefault="00000000" w:rsidP="00ED14CD">
      <w:pPr>
        <w:rPr>
          <w:rFonts w:ascii="Calibri" w:hAnsi="Calibri" w:cs="Calibri"/>
        </w:rPr>
      </w:pPr>
      <w:r>
        <w:rPr>
          <w:rFonts w:ascii="Calibri" w:eastAsia="Calibri" w:hAnsi="Calibri" w:cs="Calibri"/>
          <w:lang w:val="fr-CA"/>
        </w:rPr>
        <w:t xml:space="preserve">Le 4 février, les États-Unis lanceront une stratégie de tarifs douaniers d’envergure sans précédent qui aura des répercussions majeures sur l’économie, la géopolitique et les marchés des capitaux. Les États-Unis imposeront des tarifs douaniers de 10 % sur les exportations en provenance de Chine et de 25 % sur les exportations en provenance du Canada et du Mexique. Il convient de noter que les exportations canadiennes d’énergie seront soumises à un tarif douanier inférieur de 10 % </w:t>
      </w:r>
      <w:r>
        <w:rPr>
          <w:rFonts w:ascii="Calibri" w:eastAsia="Calibri" w:hAnsi="Calibri" w:cs="Calibri"/>
          <w:vertAlign w:val="superscript"/>
          <w:lang w:val="fr-CA"/>
        </w:rPr>
        <w:t>(1)</w:t>
      </w:r>
      <w:r>
        <w:rPr>
          <w:rFonts w:ascii="Calibri" w:eastAsia="Calibri" w:hAnsi="Calibri" w:cs="Calibri"/>
          <w:lang w:val="fr-CA"/>
        </w:rPr>
        <w:t>. En réponse, le premier ministre Trudeau a annoncé des tarifs douaniers de rétorsion de 25 % sur 155 milliards de dollars de marchandises américaines</w:t>
      </w:r>
      <w:r>
        <w:rPr>
          <w:rFonts w:ascii="Calibri" w:eastAsia="Calibri" w:hAnsi="Calibri" w:cs="Calibri"/>
          <w:vertAlign w:val="superscript"/>
          <w:lang w:val="fr-CA"/>
        </w:rPr>
        <w:t>(2).</w:t>
      </w:r>
    </w:p>
    <w:p w14:paraId="3EC29D63" w14:textId="77777777" w:rsidR="00ED14CD" w:rsidRPr="00EB723A" w:rsidRDefault="00000000" w:rsidP="00ED14CD">
      <w:pPr>
        <w:rPr>
          <w:rFonts w:ascii="Calibri" w:hAnsi="Calibri" w:cs="Calibri"/>
        </w:rPr>
      </w:pPr>
      <w:r>
        <w:rPr>
          <w:rFonts w:ascii="Calibri" w:eastAsia="Calibri" w:hAnsi="Calibri" w:cs="Calibri"/>
          <w:b/>
          <w:bCs/>
          <w:lang w:val="fr-CA"/>
        </w:rPr>
        <w:t>Impact économique</w:t>
      </w:r>
    </w:p>
    <w:p w14:paraId="4B1CBE33" w14:textId="77777777" w:rsidR="00ED14CD" w:rsidRPr="00EB723A" w:rsidRDefault="00000000" w:rsidP="00ED14CD">
      <w:pPr>
        <w:rPr>
          <w:rFonts w:ascii="Calibri" w:hAnsi="Calibri" w:cs="Calibri"/>
        </w:rPr>
      </w:pPr>
      <w:r>
        <w:rPr>
          <w:rFonts w:ascii="Calibri" w:eastAsia="Calibri" w:hAnsi="Calibri" w:cs="Calibri"/>
          <w:lang w:val="fr-CA"/>
        </w:rPr>
        <w:t xml:space="preserve">La guerre commerciale avec les États-Unis présente des risques importants pour l’économie canadienne, créant une incertitude quant à la croissance, aux investissements des entreprises et à la stabilité du marché. Notre cadre d’évaluation de l’impact économique au Canada s’est concentré sur trois facteurs clés : l’ampleur des tarifs douaniers, l’éventail des marchandises touchées et la durée des tarifs. La Banque du Canada a présenté un scénario illustratif prévoyant un tarif douanier permanent de 25 % sur toutes les importations américaines, ce qui pourrait avoir un effet négatif de 2,5 % sur le PIB du Canada la première année </w:t>
      </w:r>
      <w:r>
        <w:rPr>
          <w:rFonts w:ascii="Calibri" w:eastAsia="Calibri" w:hAnsi="Calibri" w:cs="Calibri"/>
          <w:vertAlign w:val="superscript"/>
          <w:lang w:val="fr-CA"/>
        </w:rPr>
        <w:t>(3)</w:t>
      </w:r>
      <w:r>
        <w:rPr>
          <w:rFonts w:ascii="Calibri" w:eastAsia="Calibri" w:hAnsi="Calibri" w:cs="Calibri"/>
          <w:lang w:val="fr-CA"/>
        </w:rPr>
        <w:t>.</w:t>
      </w:r>
    </w:p>
    <w:p w14:paraId="28B97F33" w14:textId="77777777" w:rsidR="00ED14CD" w:rsidRPr="00EB723A" w:rsidRDefault="00000000" w:rsidP="00ED14CD">
      <w:pPr>
        <w:rPr>
          <w:rFonts w:ascii="Calibri" w:hAnsi="Calibri" w:cs="Calibri"/>
        </w:rPr>
      </w:pPr>
      <w:r>
        <w:rPr>
          <w:rFonts w:ascii="Calibri" w:eastAsia="Calibri" w:hAnsi="Calibri" w:cs="Calibri"/>
          <w:b/>
          <w:bCs/>
          <w:lang w:val="fr-CA"/>
        </w:rPr>
        <w:t>Pressions à court terme et ajustements à plus long terme</w:t>
      </w:r>
    </w:p>
    <w:p w14:paraId="6F5184BE" w14:textId="5586CD9A" w:rsidR="00ED14CD" w:rsidRPr="00EB723A" w:rsidRDefault="00000000" w:rsidP="00ED14CD">
      <w:pPr>
        <w:rPr>
          <w:rFonts w:ascii="Calibri" w:hAnsi="Calibri" w:cs="Calibri"/>
        </w:rPr>
      </w:pPr>
      <w:r>
        <w:rPr>
          <w:rFonts w:ascii="Calibri" w:eastAsia="Calibri" w:hAnsi="Calibri" w:cs="Calibri"/>
          <w:lang w:val="fr-CA"/>
        </w:rPr>
        <w:t>À court terme, les tarifs douaniers augmenteront les coûts pour les entreprises et les consommateurs canadiens, en particulier dans les secteurs qui dépendent du commerce avec les États-Unis. À plus long terme, si les barrières commerciales persistent, la structure économique du Canada évoluera, certaines industries se contractant et d’autres bénéficiant de l’évolution des chaînes d’approvisionnement et des incitatifs politiques.</w:t>
      </w:r>
      <w:r w:rsidR="00232A21">
        <w:rPr>
          <w:rFonts w:ascii="Calibri" w:eastAsia="Calibri" w:hAnsi="Calibri" w:cs="Calibri"/>
          <w:lang w:val="fr-CA"/>
        </w:rPr>
        <w:br/>
      </w:r>
    </w:p>
    <w:p w14:paraId="255E563A" w14:textId="77777777" w:rsidR="00ED14CD" w:rsidRPr="00EB723A" w:rsidRDefault="00000000" w:rsidP="00ED14CD">
      <w:pPr>
        <w:rPr>
          <w:rFonts w:ascii="Calibri" w:hAnsi="Calibri" w:cs="Calibri"/>
        </w:rPr>
      </w:pPr>
      <w:r>
        <w:rPr>
          <w:rFonts w:ascii="Calibri" w:eastAsia="Calibri" w:hAnsi="Calibri" w:cs="Calibri"/>
          <w:b/>
          <w:bCs/>
          <w:lang w:val="fr-CA"/>
        </w:rPr>
        <w:lastRenderedPageBreak/>
        <w:t>Répercussions sur les investissements</w:t>
      </w:r>
    </w:p>
    <w:p w14:paraId="2F1EA372" w14:textId="77777777" w:rsidR="00ED14CD" w:rsidRPr="00EB723A" w:rsidRDefault="00000000" w:rsidP="00ED14CD">
      <w:pPr>
        <w:rPr>
          <w:rFonts w:ascii="Calibri" w:hAnsi="Calibri" w:cs="Calibri"/>
        </w:rPr>
      </w:pPr>
      <w:r>
        <w:rPr>
          <w:rFonts w:ascii="Calibri" w:eastAsia="Calibri" w:hAnsi="Calibri" w:cs="Calibri"/>
          <w:lang w:val="fr-CA"/>
        </w:rPr>
        <w:t>Pour les investisseurs, l’incertitude commerciale et la volatilité des marchés resteront élevées, ce qui nécessitera une gestion disciplinée des risques. Les secteurs les plus exposés aux tarifs douaniers américains, en particulier les industries manufacturières et celles axées sur l’exportation, sont confrontés à des risques accrus. Toutefois, certaines entreprises pourraient trouver des moyens d’adapter leurs chaînes d’approvisionnement, de développer d’autres marchés ou de tirer parti des incitatifs gouvernementaux.</w:t>
      </w:r>
    </w:p>
    <w:p w14:paraId="457124FB" w14:textId="77777777" w:rsidR="00ED14CD" w:rsidRPr="00EB723A" w:rsidRDefault="00000000" w:rsidP="00ED14CD">
      <w:pPr>
        <w:rPr>
          <w:rFonts w:ascii="Calibri" w:hAnsi="Calibri" w:cs="Calibri"/>
        </w:rPr>
      </w:pPr>
      <w:r>
        <w:rPr>
          <w:rFonts w:ascii="Calibri" w:eastAsia="Calibri" w:hAnsi="Calibri" w:cs="Calibri"/>
          <w:b/>
          <w:bCs/>
          <w:lang w:val="fr-CA"/>
        </w:rPr>
        <w:t>Conclusion</w:t>
      </w:r>
    </w:p>
    <w:p w14:paraId="20A47F7C" w14:textId="77777777" w:rsidR="00ED14CD" w:rsidRPr="00EB723A" w:rsidRDefault="00000000" w:rsidP="00ED14CD">
      <w:pPr>
        <w:rPr>
          <w:rFonts w:ascii="Calibri" w:hAnsi="Calibri" w:cs="Calibri"/>
        </w:rPr>
      </w:pPr>
      <w:r>
        <w:rPr>
          <w:rFonts w:ascii="Calibri" w:eastAsia="Calibri" w:hAnsi="Calibri" w:cs="Calibri"/>
          <w:lang w:val="fr-CA"/>
        </w:rPr>
        <w:t>Pour évoluer dans cet environnement, il faut adopter une approche mesurée et à long terme. Si les risques sont bien présents, les ajustements de l’économie et du marché créeront des zones d’occasion à mesure que les entreprises se repositionneront. Notre approche reste axée sur la protection du capital tout en identifiant les points forts au milieu de la volatilité.</w:t>
      </w:r>
    </w:p>
    <w:p w14:paraId="61BB8AC4" w14:textId="77777777" w:rsidR="00ED14CD" w:rsidRDefault="00000000" w:rsidP="00ED14CD">
      <w:pPr>
        <w:rPr>
          <w:rFonts w:ascii="Calibri" w:eastAsia="Calibri" w:hAnsi="Calibri" w:cs="Calibri"/>
          <w:lang w:val="fr-CA"/>
        </w:rPr>
      </w:pPr>
      <w:r>
        <w:rPr>
          <w:rFonts w:ascii="Calibri" w:eastAsia="Calibri" w:hAnsi="Calibri" w:cs="Calibri"/>
          <w:lang w:val="fr-CA"/>
        </w:rPr>
        <w:t>Nous espérons que cette lettre vous apportera des informations utiles et vous rassurera quant à notre engagement à gérer vos investissements avec prudence. Si vous avez des questions ou souhaitez obtenir de plus amples informations, n’hésitez pas à nous contacter.</w:t>
      </w:r>
    </w:p>
    <w:p w14:paraId="53EE56F2" w14:textId="77777777" w:rsidR="00A07549" w:rsidRDefault="00A07549" w:rsidP="00A07549">
      <w:pPr>
        <w:rPr>
          <w:rFonts w:ascii="Times New Roman" w:hAnsi="Times New Roman" w:cs="Times New Roman"/>
          <w:lang w:val="fr-FR"/>
        </w:rPr>
      </w:pPr>
      <w:r>
        <w:rPr>
          <w:rFonts w:ascii="Times New Roman" w:hAnsi="Times New Roman" w:cs="Times New Roman"/>
          <w:bCs/>
          <w:lang w:val="fr-CA"/>
        </w:rPr>
        <w:t xml:space="preserve">Sincères salutations, </w:t>
      </w:r>
    </w:p>
    <w:p w14:paraId="798A64AB" w14:textId="6CDD829F" w:rsidR="00A07549" w:rsidRDefault="00A07549" w:rsidP="00A07549">
      <w:pPr>
        <w:rPr>
          <w:rFonts w:ascii="Times New Roman" w:hAnsi="Times New Roman" w:cs="Times New Roman"/>
          <w:b/>
          <w:lang w:val="fr-FR"/>
        </w:rPr>
      </w:pPr>
      <w:r>
        <w:rPr>
          <w:rFonts w:ascii="Times New Roman" w:hAnsi="Times New Roman" w:cs="Times New Roman"/>
          <w:b/>
          <w:bCs/>
          <w:lang w:val="fr-CA"/>
        </w:rPr>
        <w:t>[Conseiller financier]</w:t>
      </w:r>
      <w:r w:rsidR="00232A21">
        <w:rPr>
          <w:rFonts w:ascii="Times New Roman" w:hAnsi="Times New Roman" w:cs="Times New Roman"/>
          <w:b/>
          <w:bCs/>
          <w:lang w:val="fr-CA"/>
        </w:rPr>
        <w:br/>
      </w:r>
      <w:r w:rsidR="00232A21">
        <w:rPr>
          <w:rFonts w:ascii="Times New Roman" w:hAnsi="Times New Roman" w:cs="Times New Roman"/>
          <w:b/>
          <w:bCs/>
          <w:lang w:val="fr-CA"/>
        </w:rPr>
        <w:br/>
      </w:r>
      <w:r w:rsidR="00232A21">
        <w:rPr>
          <w:rFonts w:ascii="Times New Roman" w:hAnsi="Times New Roman" w:cs="Times New Roman"/>
          <w:b/>
          <w:bCs/>
          <w:lang w:val="fr-CA"/>
        </w:rPr>
        <w:br/>
      </w:r>
      <w:r w:rsidR="00232A21">
        <w:rPr>
          <w:rFonts w:ascii="Times New Roman" w:hAnsi="Times New Roman" w:cs="Times New Roman"/>
          <w:b/>
          <w:bCs/>
          <w:lang w:val="fr-CA"/>
        </w:rPr>
        <w:br/>
      </w:r>
      <w:r w:rsidR="00232A21">
        <w:rPr>
          <w:rFonts w:ascii="Times New Roman" w:hAnsi="Times New Roman" w:cs="Times New Roman"/>
          <w:b/>
          <w:bCs/>
          <w:lang w:val="fr-CA"/>
        </w:rPr>
        <w:br/>
      </w:r>
      <w:r w:rsidR="00232A21">
        <w:rPr>
          <w:rFonts w:ascii="Times New Roman" w:hAnsi="Times New Roman" w:cs="Times New Roman"/>
          <w:b/>
          <w:bCs/>
          <w:lang w:val="fr-CA"/>
        </w:rPr>
        <w:br/>
      </w:r>
      <w:r w:rsidR="00232A21">
        <w:rPr>
          <w:rFonts w:ascii="Times New Roman" w:hAnsi="Times New Roman" w:cs="Times New Roman"/>
          <w:b/>
          <w:bCs/>
          <w:lang w:val="fr-CA"/>
        </w:rPr>
        <w:br/>
      </w:r>
      <w:r w:rsidR="00232A21">
        <w:rPr>
          <w:rFonts w:ascii="Times New Roman" w:hAnsi="Times New Roman" w:cs="Times New Roman"/>
          <w:b/>
          <w:bCs/>
          <w:lang w:val="fr-CA"/>
        </w:rPr>
        <w:br/>
      </w:r>
      <w:r w:rsidR="00232A21">
        <w:rPr>
          <w:rFonts w:ascii="Times New Roman" w:hAnsi="Times New Roman" w:cs="Times New Roman"/>
          <w:b/>
          <w:bCs/>
          <w:lang w:val="fr-CA"/>
        </w:rPr>
        <w:br/>
      </w:r>
      <w:r w:rsidR="00232A21">
        <w:rPr>
          <w:rFonts w:ascii="Times New Roman" w:hAnsi="Times New Roman" w:cs="Times New Roman"/>
          <w:b/>
          <w:bCs/>
          <w:lang w:val="fr-CA"/>
        </w:rPr>
        <w:br/>
      </w:r>
    </w:p>
    <w:p w14:paraId="2F4A7373" w14:textId="77777777" w:rsidR="00A07549" w:rsidRDefault="00A07549" w:rsidP="00ED14CD">
      <w:pPr>
        <w:rPr>
          <w:rFonts w:ascii="Calibri" w:hAnsi="Calibri" w:cs="Calibri"/>
        </w:rPr>
      </w:pPr>
    </w:p>
    <w:p w14:paraId="733A6C01" w14:textId="77777777" w:rsidR="00A07549" w:rsidRPr="00EB723A" w:rsidRDefault="00A07549" w:rsidP="00ED14CD">
      <w:pPr>
        <w:rPr>
          <w:rFonts w:ascii="Calibri" w:hAnsi="Calibri" w:cs="Calibri"/>
        </w:rPr>
      </w:pPr>
    </w:p>
    <w:p w14:paraId="72C76F6B" w14:textId="77777777" w:rsidR="00F11148" w:rsidRPr="00EB723A" w:rsidRDefault="00000000" w:rsidP="00F11148">
      <w:pPr>
        <w:pStyle w:val="ListParagraph"/>
        <w:numPr>
          <w:ilvl w:val="0"/>
          <w:numId w:val="1"/>
        </w:numPr>
        <w:rPr>
          <w:rFonts w:ascii="Calibri" w:hAnsi="Calibri" w:cs="Calibri"/>
          <w:sz w:val="20"/>
          <w:szCs w:val="20"/>
        </w:rPr>
      </w:pPr>
      <w:r>
        <w:rPr>
          <w:rFonts w:ascii="Calibri" w:eastAsia="Calibri" w:hAnsi="Calibri" w:cs="Calibri"/>
          <w:sz w:val="20"/>
          <w:szCs w:val="20"/>
          <w:lang w:val="fr-CA"/>
        </w:rPr>
        <w:lastRenderedPageBreak/>
        <w:t>Il a évoqué une « menace extraordinaire posée par des clandestins et des stupéfiants » et a déclaré une urgence nationale en vertu de la International Emergency Economic Powers Act (IEEPA).</w:t>
      </w:r>
    </w:p>
    <w:p w14:paraId="680A637D" w14:textId="77777777" w:rsidR="002219A6" w:rsidRPr="00EB723A" w:rsidRDefault="00000000" w:rsidP="00F11148">
      <w:pPr>
        <w:pStyle w:val="ListParagraph"/>
        <w:numPr>
          <w:ilvl w:val="0"/>
          <w:numId w:val="1"/>
        </w:numPr>
        <w:rPr>
          <w:rFonts w:ascii="Calibri" w:hAnsi="Calibri" w:cs="Calibri"/>
          <w:sz w:val="20"/>
          <w:szCs w:val="20"/>
        </w:rPr>
      </w:pPr>
      <w:r>
        <w:rPr>
          <w:rFonts w:ascii="Calibri" w:eastAsia="Calibri" w:hAnsi="Calibri" w:cs="Calibri"/>
          <w:sz w:val="20"/>
          <w:szCs w:val="20"/>
          <w:lang w:val="fr-CA"/>
        </w:rPr>
        <w:t>Le Premier ministre Trudeau a annoncé des tarifs douaniers de rétorsion de 25 % sur 155 milliards de dollars de marchandises américaines, dont 30 milliards ciblés le 4 février. Les 125 milliards de dollars de marchandises restants seront visés après 21 jours.</w:t>
      </w:r>
    </w:p>
    <w:p w14:paraId="625E91B5" w14:textId="60E0B54F" w:rsidR="000033DA" w:rsidRPr="001903C9" w:rsidRDefault="00000000" w:rsidP="000617F1">
      <w:pPr>
        <w:pStyle w:val="ListParagraph"/>
        <w:numPr>
          <w:ilvl w:val="0"/>
          <w:numId w:val="1"/>
        </w:numPr>
        <w:rPr>
          <w:rFonts w:ascii="Calibri" w:hAnsi="Calibri" w:cs="Calibri"/>
          <w:sz w:val="20"/>
          <w:szCs w:val="20"/>
        </w:rPr>
      </w:pPr>
      <w:r>
        <w:rPr>
          <w:rFonts w:ascii="Calibri" w:eastAsia="Calibri" w:hAnsi="Calibri" w:cs="Calibri"/>
          <w:sz w:val="20"/>
          <w:szCs w:val="20"/>
          <w:lang w:val="fr-CA"/>
        </w:rPr>
        <w:t>Source : Banque du Canada</w:t>
      </w:r>
    </w:p>
    <w:p w14:paraId="218A274D" w14:textId="77777777" w:rsidR="001903C9" w:rsidRPr="001903C9" w:rsidRDefault="001903C9" w:rsidP="001903C9">
      <w:pPr>
        <w:pStyle w:val="ListParagraph"/>
        <w:rPr>
          <w:rFonts w:ascii="Calibri" w:hAnsi="Calibri" w:cs="Calibri"/>
          <w:sz w:val="20"/>
          <w:szCs w:val="20"/>
        </w:rPr>
      </w:pPr>
    </w:p>
    <w:p w14:paraId="0015C61C" w14:textId="4F17DC63" w:rsidR="00706F2A" w:rsidRPr="001903C9" w:rsidRDefault="001903C9" w:rsidP="001903C9">
      <w:pPr>
        <w:rPr>
          <w:rFonts w:ascii="Times New Roman" w:hAnsi="Times New Roman" w:cs="Times New Roman"/>
          <w:i/>
          <w:iCs/>
        </w:rPr>
      </w:pPr>
      <w:r w:rsidRPr="001903C9">
        <w:rPr>
          <w:rFonts w:ascii="Times New Roman" w:hAnsi="Times New Roman" w:cs="Times New Roman"/>
          <w:i/>
          <w:iCs/>
        </w:rPr>
        <w:t xml:space="preserve">Les </w:t>
      </w:r>
      <w:proofErr w:type="spellStart"/>
      <w:r w:rsidRPr="001903C9">
        <w:rPr>
          <w:rFonts w:ascii="Times New Roman" w:hAnsi="Times New Roman" w:cs="Times New Roman"/>
          <w:i/>
          <w:iCs/>
        </w:rPr>
        <w:t>renseignements</w:t>
      </w:r>
      <w:proofErr w:type="spellEnd"/>
      <w:r w:rsidRPr="001903C9">
        <w:rPr>
          <w:rFonts w:ascii="Times New Roman" w:hAnsi="Times New Roman" w:cs="Times New Roman"/>
          <w:i/>
          <w:iCs/>
        </w:rPr>
        <w:t xml:space="preserve"> </w:t>
      </w:r>
      <w:proofErr w:type="spellStart"/>
      <w:r w:rsidRPr="001903C9">
        <w:rPr>
          <w:rFonts w:ascii="Times New Roman" w:hAnsi="Times New Roman" w:cs="Times New Roman"/>
          <w:i/>
          <w:iCs/>
        </w:rPr>
        <w:t>contenus</w:t>
      </w:r>
      <w:proofErr w:type="spellEnd"/>
      <w:r w:rsidRPr="001903C9">
        <w:rPr>
          <w:rFonts w:ascii="Times New Roman" w:hAnsi="Times New Roman" w:cs="Times New Roman"/>
          <w:i/>
          <w:iCs/>
        </w:rPr>
        <w:t xml:space="preserve"> dans </w:t>
      </w:r>
      <w:proofErr w:type="spellStart"/>
      <w:r w:rsidRPr="001903C9">
        <w:rPr>
          <w:rFonts w:ascii="Times New Roman" w:hAnsi="Times New Roman" w:cs="Times New Roman"/>
          <w:i/>
          <w:iCs/>
        </w:rPr>
        <w:t>cette</w:t>
      </w:r>
      <w:proofErr w:type="spellEnd"/>
      <w:r w:rsidRPr="001903C9">
        <w:rPr>
          <w:rFonts w:ascii="Times New Roman" w:hAnsi="Times New Roman" w:cs="Times New Roman"/>
          <w:i/>
          <w:iCs/>
        </w:rPr>
        <w:t xml:space="preserve"> </w:t>
      </w:r>
      <w:proofErr w:type="spellStart"/>
      <w:r w:rsidRPr="001903C9">
        <w:rPr>
          <w:rFonts w:ascii="Times New Roman" w:hAnsi="Times New Roman" w:cs="Times New Roman"/>
          <w:i/>
          <w:iCs/>
        </w:rPr>
        <w:t>lettre</w:t>
      </w:r>
      <w:proofErr w:type="spellEnd"/>
      <w:r w:rsidRPr="001903C9">
        <w:rPr>
          <w:rFonts w:ascii="Times New Roman" w:hAnsi="Times New Roman" w:cs="Times New Roman"/>
          <w:i/>
          <w:iCs/>
        </w:rPr>
        <w:t xml:space="preserve"> </w:t>
      </w:r>
      <w:proofErr w:type="spellStart"/>
      <w:r w:rsidRPr="001903C9">
        <w:rPr>
          <w:rFonts w:ascii="Times New Roman" w:hAnsi="Times New Roman" w:cs="Times New Roman"/>
          <w:i/>
          <w:iCs/>
        </w:rPr>
        <w:t>proviennent</w:t>
      </w:r>
      <w:proofErr w:type="spellEnd"/>
      <w:r w:rsidRPr="001903C9">
        <w:rPr>
          <w:rFonts w:ascii="Times New Roman" w:hAnsi="Times New Roman" w:cs="Times New Roman"/>
          <w:i/>
          <w:iCs/>
        </w:rPr>
        <w:t xml:space="preserve"> de </w:t>
      </w:r>
      <w:proofErr w:type="spellStart"/>
      <w:r w:rsidRPr="001903C9">
        <w:rPr>
          <w:rFonts w:ascii="Times New Roman" w:hAnsi="Times New Roman" w:cs="Times New Roman"/>
          <w:i/>
          <w:iCs/>
        </w:rPr>
        <w:t>diverses</w:t>
      </w:r>
      <w:proofErr w:type="spellEnd"/>
      <w:r w:rsidRPr="001903C9">
        <w:rPr>
          <w:rFonts w:ascii="Times New Roman" w:hAnsi="Times New Roman" w:cs="Times New Roman"/>
          <w:i/>
          <w:iCs/>
        </w:rPr>
        <w:t xml:space="preserve"> sources, </w:t>
      </w:r>
      <w:proofErr w:type="spellStart"/>
      <w:r w:rsidRPr="001903C9">
        <w:rPr>
          <w:rFonts w:ascii="Times New Roman" w:hAnsi="Times New Roman" w:cs="Times New Roman"/>
          <w:i/>
          <w:iCs/>
        </w:rPr>
        <w:t>notamment</w:t>
      </w:r>
      <w:proofErr w:type="spellEnd"/>
      <w:r w:rsidRPr="001903C9">
        <w:rPr>
          <w:rFonts w:ascii="Times New Roman" w:hAnsi="Times New Roman" w:cs="Times New Roman"/>
          <w:i/>
          <w:iCs/>
        </w:rPr>
        <w:t xml:space="preserve"> Canadian News Wire Services et Banque du Canada</w:t>
      </w:r>
      <w:r w:rsidR="00706F2A" w:rsidRPr="001903C9">
        <w:rPr>
          <w:rFonts w:ascii="Times New Roman" w:eastAsia="Times New Roman" w:hAnsi="Times New Roman" w:cs="Times New Roman"/>
          <w:i/>
          <w:iCs/>
          <w:lang w:val="fr-CA"/>
        </w:rPr>
        <w:t>.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je vous invite à communiquer avec moi pour obtenir des conseils financiers qui tiennent compte de votre situation personnelle</w:t>
      </w:r>
      <w:r w:rsidR="00706F2A" w:rsidRPr="001903C9">
        <w:rPr>
          <w:rFonts w:ascii="Times New Roman" w:eastAsia="Calibri" w:hAnsi="Times New Roman" w:cs="Times New Roman"/>
          <w:i/>
          <w:iCs/>
          <w:lang w:val="fr-CA"/>
        </w:rPr>
        <w:t>.</w:t>
      </w:r>
      <w:r w:rsidR="00706F2A" w:rsidRPr="001903C9">
        <w:rPr>
          <w:rFonts w:ascii="Times New Roman" w:eastAsia="Times New Roman" w:hAnsi="Times New Roman" w:cs="Times New Roman"/>
          <w:i/>
          <w:iCs/>
          <w:lang w:val="fr-CA"/>
        </w:rPr>
        <w:t xml:space="preserve"> Certains énoncés contenus dans la présente sont fondés entièrement ou en partie sur de l’information fournie par des tiers; Gestion mondiale d’actifs CI a pris des mesures raisonnables afin de s’assurer qu’ils sont exacts. Les conditions du marché pourraient varier et donc influer sur les renseignements contenus dans le présent document.</w:t>
      </w:r>
    </w:p>
    <w:p w14:paraId="1BD588DB" w14:textId="44A81AB7" w:rsidR="00EB723A" w:rsidRPr="00EB723A" w:rsidRDefault="00EB723A" w:rsidP="00706F2A">
      <w:pPr>
        <w:rPr>
          <w:rFonts w:ascii="Calibri" w:hAnsi="Calibri" w:cs="Calibri"/>
        </w:rPr>
      </w:pPr>
    </w:p>
    <w:sectPr w:rsidR="00EB723A" w:rsidRPr="00EB723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71E8" w14:textId="77777777" w:rsidR="0029401E" w:rsidRDefault="0029401E" w:rsidP="00232A21">
      <w:pPr>
        <w:spacing w:after="0" w:line="240" w:lineRule="auto"/>
      </w:pPr>
      <w:r>
        <w:separator/>
      </w:r>
    </w:p>
  </w:endnote>
  <w:endnote w:type="continuationSeparator" w:id="0">
    <w:p w14:paraId="7686F108" w14:textId="77777777" w:rsidR="0029401E" w:rsidRDefault="0029401E" w:rsidP="0023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2425"/>
      <w:gridCol w:w="6925"/>
    </w:tblGrid>
    <w:tr w:rsidR="00232A21" w14:paraId="096EDFEC" w14:textId="77777777" w:rsidTr="00B83DE9">
      <w:tc>
        <w:tcPr>
          <w:tcW w:w="2425" w:type="dxa"/>
          <w:shd w:val="clear" w:color="auto" w:fill="E8E8E8" w:themeFill="background2"/>
        </w:tcPr>
        <w:p w14:paraId="5D190213" w14:textId="77777777" w:rsidR="00232A21" w:rsidRDefault="00232A21" w:rsidP="00232A21">
          <w:pPr>
            <w:pStyle w:val="Footer"/>
          </w:pPr>
          <w:r>
            <w:rPr>
              <w:noProof/>
            </w:rPr>
            <w:drawing>
              <wp:inline distT="0" distB="0" distL="0" distR="0" wp14:anchorId="7D910D50" wp14:editId="40B8B930">
                <wp:extent cx="1354666" cy="1354666"/>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3698" cy="1363698"/>
                        </a:xfrm>
                        <a:prstGeom prst="rect">
                          <a:avLst/>
                        </a:prstGeom>
                      </pic:spPr>
                    </pic:pic>
                  </a:graphicData>
                </a:graphic>
              </wp:inline>
            </w:drawing>
          </w:r>
        </w:p>
      </w:tc>
      <w:tc>
        <w:tcPr>
          <w:tcW w:w="6925" w:type="dxa"/>
          <w:shd w:val="clear" w:color="auto" w:fill="E8E8E8" w:themeFill="background2"/>
        </w:tcPr>
        <w:tbl>
          <w:tblPr>
            <w:tblW w:w="5000" w:type="pct"/>
            <w:tblCellSpacing w:w="0" w:type="dxa"/>
            <w:tblCellMar>
              <w:left w:w="0" w:type="dxa"/>
              <w:right w:w="0" w:type="dxa"/>
            </w:tblCellMar>
            <w:tblLook w:val="04A0" w:firstRow="1" w:lastRow="0" w:firstColumn="1" w:lastColumn="0" w:noHBand="0" w:noVBand="1"/>
          </w:tblPr>
          <w:tblGrid>
            <w:gridCol w:w="6709"/>
          </w:tblGrid>
          <w:tr w:rsidR="00232A21" w:rsidRPr="00755809" w14:paraId="251D344C" w14:textId="77777777" w:rsidTr="00B83DE9">
            <w:trPr>
              <w:trHeight w:val="2520"/>
              <w:tblCellSpacing w:w="0" w:type="dxa"/>
            </w:trPr>
            <w:tc>
              <w:tcPr>
                <w:tcW w:w="5996" w:type="dxa"/>
                <w:tcBorders>
                  <w:top w:val="nil"/>
                  <w:left w:val="nil"/>
                  <w:bottom w:val="nil"/>
                  <w:right w:val="nil"/>
                </w:tcBorders>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6259"/>
                </w:tblGrid>
                <w:tr w:rsidR="00232A21" w:rsidRPr="00755809" w14:paraId="5C5F9DF7" w14:textId="77777777" w:rsidTr="00B83DE9">
                  <w:tc>
                    <w:tcPr>
                      <w:tcW w:w="0" w:type="auto"/>
                      <w:hideMark/>
                    </w:tcPr>
                    <w:p w14:paraId="237173A3" w14:textId="77777777" w:rsidR="00232A21" w:rsidRPr="00755809" w:rsidRDefault="00232A21" w:rsidP="00232A21">
                      <w:pPr>
                        <w:spacing w:before="100" w:beforeAutospacing="1" w:after="100" w:afterAutospacing="1" w:line="480" w:lineRule="atLeast"/>
                        <w:rPr>
                          <w:rFonts w:ascii="Helvetica" w:hAnsi="Helvetica" w:cs="Helvetica"/>
                          <w:color w:val="000000"/>
                        </w:rPr>
                      </w:pPr>
                      <w:bookmarkStart w:id="1" w:name="B1600267546575"/>
                      <w:bookmarkEnd w:id="1"/>
                      <w:r w:rsidRPr="00755809">
                        <w:rPr>
                          <w:rFonts w:ascii="Helvetica" w:hAnsi="Helvetica" w:cs="Helvetica"/>
                          <w:b/>
                          <w:bCs/>
                          <w:color w:val="000000"/>
                          <w:sz w:val="30"/>
                          <w:szCs w:val="30"/>
                        </w:rPr>
                        <w:t xml:space="preserve">Des questions? </w:t>
                      </w:r>
                      <w:proofErr w:type="spellStart"/>
                      <w:r w:rsidRPr="00755809">
                        <w:rPr>
                          <w:rFonts w:ascii="Helvetica" w:hAnsi="Helvetica" w:cs="Helvetica"/>
                          <w:b/>
                          <w:bCs/>
                          <w:color w:val="000000"/>
                          <w:sz w:val="30"/>
                          <w:szCs w:val="30"/>
                        </w:rPr>
                        <w:t>Contactez-</w:t>
                      </w:r>
                      <w:proofErr w:type="gramStart"/>
                      <w:r w:rsidRPr="00755809">
                        <w:rPr>
                          <w:rFonts w:ascii="Helvetica" w:hAnsi="Helvetica" w:cs="Helvetica"/>
                          <w:b/>
                          <w:bCs/>
                          <w:color w:val="000000"/>
                          <w:sz w:val="30"/>
                          <w:szCs w:val="30"/>
                        </w:rPr>
                        <w:t>moi</w:t>
                      </w:r>
                      <w:proofErr w:type="spellEnd"/>
                      <w:r w:rsidRPr="00755809">
                        <w:rPr>
                          <w:rFonts w:ascii="Helvetica" w:hAnsi="Helvetica" w:cs="Helvetica"/>
                          <w:b/>
                          <w:bCs/>
                          <w:color w:val="000000"/>
                          <w:sz w:val="30"/>
                          <w:szCs w:val="30"/>
                        </w:rPr>
                        <w:t xml:space="preserve"> :</w:t>
                      </w:r>
                      <w:proofErr w:type="gramEnd"/>
                    </w:p>
                    <w:p w14:paraId="526DFACC" w14:textId="77777777" w:rsidR="00232A21" w:rsidRPr="00755809" w:rsidRDefault="00232A21" w:rsidP="00232A21">
                      <w:pPr>
                        <w:spacing w:before="100" w:beforeAutospacing="1" w:after="100" w:afterAutospacing="1" w:line="480" w:lineRule="atLeast"/>
                        <w:rPr>
                          <w:rFonts w:ascii="Helvetica" w:hAnsi="Helvetica" w:cs="Helvetica"/>
                          <w:color w:val="000000"/>
                        </w:rPr>
                      </w:pPr>
                      <w:proofErr w:type="spellStart"/>
                      <w:r w:rsidRPr="00755809">
                        <w:rPr>
                          <w:rFonts w:ascii="Helvetica" w:hAnsi="Helvetica" w:cs="Helvetica"/>
                          <w:color w:val="000000"/>
                          <w:sz w:val="20"/>
                          <w:szCs w:val="20"/>
                        </w:rPr>
                        <w:t>Remplacer</w:t>
                      </w:r>
                      <w:proofErr w:type="spellEnd"/>
                      <w:r w:rsidRPr="00755809">
                        <w:rPr>
                          <w:rFonts w:ascii="Helvetica" w:hAnsi="Helvetica" w:cs="Helvetica"/>
                          <w:color w:val="000000"/>
                          <w:sz w:val="20"/>
                          <w:szCs w:val="20"/>
                        </w:rPr>
                        <w:t xml:space="preserve"> par </w:t>
                      </w:r>
                      <w:proofErr w:type="spellStart"/>
                      <w:r w:rsidRPr="00755809">
                        <w:rPr>
                          <w:rFonts w:ascii="Helvetica" w:hAnsi="Helvetica" w:cs="Helvetica"/>
                          <w:color w:val="000000"/>
                          <w:sz w:val="20"/>
                          <w:szCs w:val="20"/>
                        </w:rPr>
                        <w:t>votre</w:t>
                      </w:r>
                      <w:proofErr w:type="spellEnd"/>
                      <w:r w:rsidRPr="00755809">
                        <w:rPr>
                          <w:rFonts w:ascii="Helvetica" w:hAnsi="Helvetica" w:cs="Helvetica"/>
                          <w:color w:val="000000"/>
                          <w:sz w:val="20"/>
                          <w:szCs w:val="20"/>
                        </w:rPr>
                        <w:t xml:space="preserve"> nom</w:t>
                      </w:r>
                    </w:p>
                    <w:p w14:paraId="603B41FE" w14:textId="77777777" w:rsidR="00232A21" w:rsidRPr="00755809" w:rsidRDefault="00232A21" w:rsidP="00232A21">
                      <w:pPr>
                        <w:spacing w:before="100" w:beforeAutospacing="1" w:after="100" w:afterAutospacing="1" w:line="480" w:lineRule="atLeast"/>
                        <w:rPr>
                          <w:rFonts w:ascii="Helvetica" w:hAnsi="Helvetica" w:cs="Helvetica"/>
                          <w:color w:val="000000"/>
                        </w:rPr>
                      </w:pPr>
                      <w:r w:rsidRPr="00755809">
                        <w:rPr>
                          <w:rFonts w:ascii="Helvetica" w:hAnsi="Helvetica" w:cs="Helvetica"/>
                          <w:noProof/>
                          <w:color w:val="000000"/>
                          <w:sz w:val="20"/>
                          <w:szCs w:val="20"/>
                        </w:rPr>
                        <w:drawing>
                          <wp:inline distT="0" distB="0" distL="0" distR="0" wp14:anchorId="09A53B7C" wp14:editId="22E7BDBE">
                            <wp:extent cx="220980" cy="2209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2657796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755809">
                        <w:rPr>
                          <w:rFonts w:ascii="Helvetica" w:hAnsi="Helvetica" w:cs="Helvetica"/>
                          <w:color w:val="000000"/>
                          <w:sz w:val="20"/>
                          <w:szCs w:val="20"/>
                        </w:rPr>
                        <w:t>111-222-</w:t>
                      </w:r>
                      <w:proofErr w:type="gramStart"/>
                      <w:r w:rsidRPr="00755809">
                        <w:rPr>
                          <w:rFonts w:ascii="Helvetica" w:hAnsi="Helvetica" w:cs="Helvetica"/>
                          <w:color w:val="000000"/>
                          <w:sz w:val="20"/>
                          <w:szCs w:val="20"/>
                        </w:rPr>
                        <w:t>3333  </w:t>
                      </w:r>
                      <w:r w:rsidRPr="00755809">
                        <w:rPr>
                          <w:rFonts w:ascii="Helvetica" w:hAnsi="Helvetica" w:cs="Helvetica"/>
                          <w:b/>
                          <w:bCs/>
                          <w:color w:val="000000"/>
                          <w:sz w:val="20"/>
                          <w:szCs w:val="20"/>
                        </w:rPr>
                        <w:t>|</w:t>
                      </w:r>
                      <w:proofErr w:type="gramEnd"/>
                      <w:r w:rsidRPr="00755809">
                        <w:rPr>
                          <w:rFonts w:ascii="Helvetica" w:hAnsi="Helvetica" w:cs="Helvetica"/>
                          <w:color w:val="000000"/>
                          <w:sz w:val="20"/>
                          <w:szCs w:val="20"/>
                        </w:rPr>
                        <w:t>  </w:t>
                      </w:r>
                      <w:r w:rsidRPr="00755809">
                        <w:rPr>
                          <w:rFonts w:ascii="Helvetica" w:hAnsi="Helvetica" w:cs="Helvetica"/>
                          <w:noProof/>
                          <w:color w:val="000000"/>
                          <w:sz w:val="20"/>
                          <w:szCs w:val="20"/>
                        </w:rPr>
                        <w:drawing>
                          <wp:inline distT="0" distB="0" distL="0" distR="0" wp14:anchorId="2F66F69E" wp14:editId="1C0FE803">
                            <wp:extent cx="220980" cy="220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26582445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proofErr w:type="spellStart"/>
                      <w:r w:rsidRPr="00755809">
                        <w:rPr>
                          <w:rFonts w:ascii="Helvetica" w:hAnsi="Helvetica" w:cs="Helvetica"/>
                          <w:color w:val="000000"/>
                          <w:sz w:val="20"/>
                          <w:szCs w:val="20"/>
                        </w:rPr>
                        <w:t>Remplacer</w:t>
                      </w:r>
                      <w:proofErr w:type="spellEnd"/>
                      <w:r w:rsidRPr="00755809">
                        <w:rPr>
                          <w:rFonts w:ascii="Helvetica" w:hAnsi="Helvetica" w:cs="Helvetica"/>
                          <w:color w:val="000000"/>
                          <w:sz w:val="20"/>
                          <w:szCs w:val="20"/>
                        </w:rPr>
                        <w:t xml:space="preserve"> par </w:t>
                      </w:r>
                      <w:proofErr w:type="spellStart"/>
                      <w:r w:rsidRPr="00755809">
                        <w:rPr>
                          <w:rFonts w:ascii="Helvetica" w:hAnsi="Helvetica" w:cs="Helvetica"/>
                          <w:color w:val="000000"/>
                          <w:sz w:val="20"/>
                          <w:szCs w:val="20"/>
                        </w:rPr>
                        <w:t>votre</w:t>
                      </w:r>
                      <w:proofErr w:type="spellEnd"/>
                      <w:r w:rsidRPr="00755809">
                        <w:rPr>
                          <w:rFonts w:ascii="Helvetica" w:hAnsi="Helvetica" w:cs="Helvetica"/>
                          <w:color w:val="000000"/>
                          <w:sz w:val="20"/>
                          <w:szCs w:val="20"/>
                        </w:rPr>
                        <w:t xml:space="preserve"> </w:t>
                      </w:r>
                      <w:proofErr w:type="spellStart"/>
                      <w:r w:rsidRPr="00755809">
                        <w:rPr>
                          <w:rFonts w:ascii="Helvetica" w:hAnsi="Helvetica" w:cs="Helvetica"/>
                          <w:color w:val="000000"/>
                          <w:sz w:val="20"/>
                          <w:szCs w:val="20"/>
                        </w:rPr>
                        <w:t>adresse</w:t>
                      </w:r>
                      <w:proofErr w:type="spellEnd"/>
                      <w:r w:rsidRPr="00755809">
                        <w:rPr>
                          <w:rFonts w:ascii="Helvetica" w:hAnsi="Helvetica" w:cs="Helvetica"/>
                          <w:color w:val="000000"/>
                          <w:sz w:val="20"/>
                          <w:szCs w:val="20"/>
                        </w:rPr>
                        <w:t xml:space="preserve"> courriel</w:t>
                      </w:r>
                    </w:p>
                  </w:tc>
                </w:tr>
              </w:tbl>
              <w:p w14:paraId="5B3BEDC3" w14:textId="77777777" w:rsidR="00232A21" w:rsidRPr="00755809" w:rsidRDefault="00232A21" w:rsidP="00232A21">
                <w:pPr>
                  <w:rPr>
                    <w:rFonts w:ascii="Helvetica" w:hAnsi="Helvetica" w:cs="Helvetica"/>
                    <w:color w:val="000000"/>
                  </w:rPr>
                </w:pPr>
              </w:p>
            </w:tc>
          </w:tr>
        </w:tbl>
        <w:p w14:paraId="6C6C1502" w14:textId="77777777" w:rsidR="00232A21" w:rsidRDefault="00232A21" w:rsidP="00232A21">
          <w:pPr>
            <w:pStyle w:val="Footer"/>
          </w:pPr>
        </w:p>
      </w:tc>
    </w:tr>
  </w:tbl>
  <w:p w14:paraId="52025C19" w14:textId="77777777" w:rsidR="00232A21" w:rsidRDefault="00232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CE13" w14:textId="77777777" w:rsidR="0029401E" w:rsidRDefault="0029401E" w:rsidP="00232A21">
      <w:pPr>
        <w:spacing w:after="0" w:line="240" w:lineRule="auto"/>
      </w:pPr>
      <w:r>
        <w:separator/>
      </w:r>
    </w:p>
  </w:footnote>
  <w:footnote w:type="continuationSeparator" w:id="0">
    <w:p w14:paraId="0B82BF4D" w14:textId="77777777" w:rsidR="0029401E" w:rsidRDefault="0029401E" w:rsidP="00232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32A21" w14:paraId="763F9FBC" w14:textId="77777777" w:rsidTr="00B83DE9">
      <w:tc>
        <w:tcPr>
          <w:tcW w:w="4675" w:type="dxa"/>
        </w:tcPr>
        <w:p w14:paraId="7CBCF435" w14:textId="77777777" w:rsidR="00232A21" w:rsidRDefault="00232A21" w:rsidP="00232A21">
          <w:pPr>
            <w:pStyle w:val="Header"/>
          </w:pPr>
          <w:bookmarkStart w:id="0" w:name="_Hlk140743099"/>
          <w:r>
            <w:rPr>
              <w:noProof/>
            </w:rPr>
            <w:drawing>
              <wp:inline distT="0" distB="0" distL="0" distR="0" wp14:anchorId="01DFF905" wp14:editId="0860E2E7">
                <wp:extent cx="2392680" cy="807720"/>
                <wp:effectExtent l="0" t="0" r="7620" b="0"/>
                <wp:docPr id="37" name="Picture 3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807720"/>
                        </a:xfrm>
                        <a:prstGeom prst="rect">
                          <a:avLst/>
                        </a:prstGeom>
                        <a:noFill/>
                        <a:ln>
                          <a:noFill/>
                        </a:ln>
                      </pic:spPr>
                    </pic:pic>
                  </a:graphicData>
                </a:graphic>
              </wp:inline>
            </w:drawing>
          </w:r>
        </w:p>
      </w:tc>
      <w:tc>
        <w:tcPr>
          <w:tcW w:w="4675" w:type="dxa"/>
        </w:tcPr>
        <w:p w14:paraId="77F189C4" w14:textId="77777777" w:rsidR="00232A21" w:rsidRPr="00755809" w:rsidRDefault="00232A21" w:rsidP="00232A21">
          <w:pPr>
            <w:shd w:val="clear" w:color="auto" w:fill="FFFFFF"/>
            <w:spacing w:before="100" w:beforeAutospacing="1" w:after="100" w:afterAutospacing="1" w:line="480" w:lineRule="atLeast"/>
            <w:jc w:val="right"/>
            <w:rPr>
              <w:rFonts w:ascii="Helvetica" w:hAnsi="Helvetica" w:cs="Helvetica"/>
              <w:color w:val="000000"/>
              <w:sz w:val="24"/>
              <w:szCs w:val="24"/>
            </w:rPr>
          </w:pPr>
          <w:r w:rsidRPr="00755809">
            <w:rPr>
              <w:rFonts w:ascii="Helvetica" w:hAnsi="Helvetica" w:cs="Helvetica"/>
              <w:noProof/>
              <w:color w:val="000000"/>
            </w:rPr>
            <w:drawing>
              <wp:inline distT="0" distB="0" distL="0" distR="0" wp14:anchorId="07ED603C" wp14:editId="38919DA1">
                <wp:extent cx="220980" cy="220980"/>
                <wp:effectExtent l="0" t="0" r="762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2657796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755809">
            <w:rPr>
              <w:rFonts w:ascii="Helvetica" w:hAnsi="Helvetica" w:cs="Helvetica"/>
              <w:color w:val="000000"/>
              <w:sz w:val="24"/>
              <w:szCs w:val="24"/>
            </w:rPr>
            <w:t>111-222-3333</w:t>
          </w:r>
        </w:p>
        <w:p w14:paraId="083F0F6E" w14:textId="77777777" w:rsidR="00232A21" w:rsidRDefault="00232A21" w:rsidP="00232A21">
          <w:pPr>
            <w:shd w:val="clear" w:color="auto" w:fill="FFFFFF"/>
            <w:spacing w:before="100" w:beforeAutospacing="1" w:after="100" w:afterAutospacing="1" w:line="480" w:lineRule="atLeast"/>
            <w:jc w:val="right"/>
          </w:pPr>
          <w:r w:rsidRPr="00755809">
            <w:rPr>
              <w:rFonts w:ascii="Helvetica" w:hAnsi="Helvetica" w:cs="Helvetica"/>
              <w:noProof/>
              <w:color w:val="000000"/>
            </w:rPr>
            <w:drawing>
              <wp:inline distT="0" distB="0" distL="0" distR="0" wp14:anchorId="4558EAC7" wp14:editId="7F33BD90">
                <wp:extent cx="220980" cy="220980"/>
                <wp:effectExtent l="0" t="0" r="762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26582445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proofErr w:type="spellStart"/>
          <w:r w:rsidRPr="00755809">
            <w:rPr>
              <w:rFonts w:ascii="Helvetica" w:hAnsi="Helvetica" w:cs="Helvetica"/>
              <w:color w:val="000000"/>
              <w:sz w:val="24"/>
              <w:szCs w:val="24"/>
            </w:rPr>
            <w:t>Remplacer</w:t>
          </w:r>
          <w:proofErr w:type="spellEnd"/>
          <w:r w:rsidRPr="00755809">
            <w:rPr>
              <w:rFonts w:ascii="Helvetica" w:hAnsi="Helvetica" w:cs="Helvetica"/>
              <w:color w:val="000000"/>
              <w:sz w:val="24"/>
              <w:szCs w:val="24"/>
            </w:rPr>
            <w:t xml:space="preserve"> par </w:t>
          </w:r>
          <w:proofErr w:type="spellStart"/>
          <w:r w:rsidRPr="00755809">
            <w:rPr>
              <w:rFonts w:ascii="Helvetica" w:hAnsi="Helvetica" w:cs="Helvetica"/>
              <w:color w:val="000000"/>
              <w:sz w:val="24"/>
              <w:szCs w:val="24"/>
            </w:rPr>
            <w:t>votre</w:t>
          </w:r>
          <w:proofErr w:type="spellEnd"/>
          <w:r w:rsidRPr="00755809">
            <w:rPr>
              <w:rFonts w:ascii="Helvetica" w:hAnsi="Helvetica" w:cs="Helvetica"/>
              <w:color w:val="000000"/>
              <w:sz w:val="24"/>
              <w:szCs w:val="24"/>
            </w:rPr>
            <w:t xml:space="preserve"> </w:t>
          </w:r>
          <w:proofErr w:type="spellStart"/>
          <w:r w:rsidRPr="00755809">
            <w:rPr>
              <w:rFonts w:ascii="Helvetica" w:hAnsi="Helvetica" w:cs="Helvetica"/>
              <w:color w:val="000000"/>
              <w:sz w:val="24"/>
              <w:szCs w:val="24"/>
            </w:rPr>
            <w:t>adresse</w:t>
          </w:r>
          <w:proofErr w:type="spellEnd"/>
          <w:r w:rsidRPr="00755809">
            <w:rPr>
              <w:rFonts w:ascii="Helvetica" w:hAnsi="Helvetica" w:cs="Helvetica"/>
              <w:color w:val="000000"/>
              <w:sz w:val="24"/>
              <w:szCs w:val="24"/>
            </w:rPr>
            <w:t xml:space="preserve"> </w:t>
          </w:r>
          <w:proofErr w:type="spellStart"/>
          <w:r w:rsidRPr="00755809">
            <w:rPr>
              <w:rFonts w:ascii="Helvetica" w:hAnsi="Helvetica" w:cs="Helvetica"/>
              <w:color w:val="000000"/>
              <w:sz w:val="24"/>
              <w:szCs w:val="24"/>
            </w:rPr>
            <w:t>courriel</w:t>
          </w:r>
          <w:proofErr w:type="spellEnd"/>
        </w:p>
      </w:tc>
    </w:tr>
    <w:bookmarkEnd w:id="0"/>
  </w:tbl>
  <w:p w14:paraId="6E4397D5" w14:textId="77777777" w:rsidR="00232A21" w:rsidRDefault="00232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24566"/>
    <w:multiLevelType w:val="hybridMultilevel"/>
    <w:tmpl w:val="AB1AB200"/>
    <w:lvl w:ilvl="0" w:tplc="5EE62550">
      <w:start w:val="1"/>
      <w:numFmt w:val="decimal"/>
      <w:lvlText w:val="(%1)"/>
      <w:lvlJc w:val="left"/>
      <w:pPr>
        <w:ind w:left="720" w:hanging="360"/>
      </w:pPr>
      <w:rPr>
        <w:rFonts w:hint="default"/>
      </w:rPr>
    </w:lvl>
    <w:lvl w:ilvl="1" w:tplc="C204C364" w:tentative="1">
      <w:start w:val="1"/>
      <w:numFmt w:val="lowerLetter"/>
      <w:lvlText w:val="%2."/>
      <w:lvlJc w:val="left"/>
      <w:pPr>
        <w:ind w:left="1440" w:hanging="360"/>
      </w:pPr>
    </w:lvl>
    <w:lvl w:ilvl="2" w:tplc="66F0909E" w:tentative="1">
      <w:start w:val="1"/>
      <w:numFmt w:val="lowerRoman"/>
      <w:lvlText w:val="%3."/>
      <w:lvlJc w:val="right"/>
      <w:pPr>
        <w:ind w:left="2160" w:hanging="180"/>
      </w:pPr>
    </w:lvl>
    <w:lvl w:ilvl="3" w:tplc="9D649468" w:tentative="1">
      <w:start w:val="1"/>
      <w:numFmt w:val="decimal"/>
      <w:lvlText w:val="%4."/>
      <w:lvlJc w:val="left"/>
      <w:pPr>
        <w:ind w:left="2880" w:hanging="360"/>
      </w:pPr>
    </w:lvl>
    <w:lvl w:ilvl="4" w:tplc="F71CB754" w:tentative="1">
      <w:start w:val="1"/>
      <w:numFmt w:val="lowerLetter"/>
      <w:lvlText w:val="%5."/>
      <w:lvlJc w:val="left"/>
      <w:pPr>
        <w:ind w:left="3600" w:hanging="360"/>
      </w:pPr>
    </w:lvl>
    <w:lvl w:ilvl="5" w:tplc="ADBC734C" w:tentative="1">
      <w:start w:val="1"/>
      <w:numFmt w:val="lowerRoman"/>
      <w:lvlText w:val="%6."/>
      <w:lvlJc w:val="right"/>
      <w:pPr>
        <w:ind w:left="4320" w:hanging="180"/>
      </w:pPr>
    </w:lvl>
    <w:lvl w:ilvl="6" w:tplc="B6AC6BB8" w:tentative="1">
      <w:start w:val="1"/>
      <w:numFmt w:val="decimal"/>
      <w:lvlText w:val="%7."/>
      <w:lvlJc w:val="left"/>
      <w:pPr>
        <w:ind w:left="5040" w:hanging="360"/>
      </w:pPr>
    </w:lvl>
    <w:lvl w:ilvl="7" w:tplc="DAAA5F54" w:tentative="1">
      <w:start w:val="1"/>
      <w:numFmt w:val="lowerLetter"/>
      <w:lvlText w:val="%8."/>
      <w:lvlJc w:val="left"/>
      <w:pPr>
        <w:ind w:left="5760" w:hanging="360"/>
      </w:pPr>
    </w:lvl>
    <w:lvl w:ilvl="8" w:tplc="6CAC79C0" w:tentative="1">
      <w:start w:val="1"/>
      <w:numFmt w:val="lowerRoman"/>
      <w:lvlText w:val="%9."/>
      <w:lvlJc w:val="right"/>
      <w:pPr>
        <w:ind w:left="6480" w:hanging="180"/>
      </w:pPr>
    </w:lvl>
  </w:abstractNum>
  <w:num w:numId="1" w16cid:durableId="32663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CD"/>
    <w:rsid w:val="000033DA"/>
    <w:rsid w:val="00047F4E"/>
    <w:rsid w:val="000617F1"/>
    <w:rsid w:val="00067FD5"/>
    <w:rsid w:val="00136736"/>
    <w:rsid w:val="001903C9"/>
    <w:rsid w:val="002219A6"/>
    <w:rsid w:val="00232A21"/>
    <w:rsid w:val="00275E58"/>
    <w:rsid w:val="0029401E"/>
    <w:rsid w:val="002E54A6"/>
    <w:rsid w:val="00520498"/>
    <w:rsid w:val="00530EAC"/>
    <w:rsid w:val="00534325"/>
    <w:rsid w:val="00706F2A"/>
    <w:rsid w:val="008B3327"/>
    <w:rsid w:val="00916311"/>
    <w:rsid w:val="009243C8"/>
    <w:rsid w:val="0097256E"/>
    <w:rsid w:val="009D586C"/>
    <w:rsid w:val="00A07549"/>
    <w:rsid w:val="00B35EAE"/>
    <w:rsid w:val="00E477D2"/>
    <w:rsid w:val="00EB723A"/>
    <w:rsid w:val="00ED14CD"/>
    <w:rsid w:val="00F111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A666"/>
  <w15:chartTrackingRefBased/>
  <w15:docId w15:val="{1FDC3521-D472-4760-AAE9-681B2557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4CD"/>
    <w:rPr>
      <w:rFonts w:eastAsiaTheme="majorEastAsia" w:cstheme="majorBidi"/>
      <w:color w:val="272727" w:themeColor="text1" w:themeTint="D8"/>
    </w:rPr>
  </w:style>
  <w:style w:type="paragraph" w:styleId="Title">
    <w:name w:val="Title"/>
    <w:basedOn w:val="Normal"/>
    <w:next w:val="Normal"/>
    <w:link w:val="TitleChar"/>
    <w:uiPriority w:val="10"/>
    <w:qFormat/>
    <w:rsid w:val="00ED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4CD"/>
    <w:pPr>
      <w:spacing w:before="160"/>
      <w:jc w:val="center"/>
    </w:pPr>
    <w:rPr>
      <w:i/>
      <w:iCs/>
      <w:color w:val="404040" w:themeColor="text1" w:themeTint="BF"/>
    </w:rPr>
  </w:style>
  <w:style w:type="character" w:customStyle="1" w:styleId="QuoteChar">
    <w:name w:val="Quote Char"/>
    <w:basedOn w:val="DefaultParagraphFont"/>
    <w:link w:val="Quote"/>
    <w:uiPriority w:val="29"/>
    <w:rsid w:val="00ED14CD"/>
    <w:rPr>
      <w:i/>
      <w:iCs/>
      <w:color w:val="404040" w:themeColor="text1" w:themeTint="BF"/>
    </w:rPr>
  </w:style>
  <w:style w:type="paragraph" w:styleId="ListParagraph">
    <w:name w:val="List Paragraph"/>
    <w:basedOn w:val="Normal"/>
    <w:uiPriority w:val="34"/>
    <w:qFormat/>
    <w:rsid w:val="00ED14CD"/>
    <w:pPr>
      <w:ind w:left="720"/>
      <w:contextualSpacing/>
    </w:pPr>
  </w:style>
  <w:style w:type="character" w:styleId="IntenseEmphasis">
    <w:name w:val="Intense Emphasis"/>
    <w:basedOn w:val="DefaultParagraphFont"/>
    <w:uiPriority w:val="21"/>
    <w:qFormat/>
    <w:rsid w:val="00ED14CD"/>
    <w:rPr>
      <w:i/>
      <w:iCs/>
      <w:color w:val="0F4761" w:themeColor="accent1" w:themeShade="BF"/>
    </w:rPr>
  </w:style>
  <w:style w:type="paragraph" w:styleId="IntenseQuote">
    <w:name w:val="Intense Quote"/>
    <w:basedOn w:val="Normal"/>
    <w:next w:val="Normal"/>
    <w:link w:val="IntenseQuoteChar"/>
    <w:uiPriority w:val="30"/>
    <w:qFormat/>
    <w:rsid w:val="00ED1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4CD"/>
    <w:rPr>
      <w:i/>
      <w:iCs/>
      <w:color w:val="0F4761" w:themeColor="accent1" w:themeShade="BF"/>
    </w:rPr>
  </w:style>
  <w:style w:type="character" w:styleId="IntenseReference">
    <w:name w:val="Intense Reference"/>
    <w:basedOn w:val="DefaultParagraphFont"/>
    <w:uiPriority w:val="32"/>
    <w:qFormat/>
    <w:rsid w:val="00ED14CD"/>
    <w:rPr>
      <w:b/>
      <w:bCs/>
      <w:smallCaps/>
      <w:color w:val="0F4761" w:themeColor="accent1" w:themeShade="BF"/>
      <w:spacing w:val="5"/>
    </w:rPr>
  </w:style>
  <w:style w:type="character" w:styleId="Hyperlink">
    <w:name w:val="Hyperlink"/>
    <w:basedOn w:val="DefaultParagraphFont"/>
    <w:uiPriority w:val="99"/>
    <w:unhideWhenUsed/>
    <w:rsid w:val="009D586C"/>
    <w:rPr>
      <w:color w:val="467886" w:themeColor="hyperlink"/>
      <w:u w:val="single"/>
    </w:rPr>
  </w:style>
  <w:style w:type="paragraph" w:customStyle="1" w:styleId="react-spectrum-richtexteditor-paragraph">
    <w:name w:val="react-spectrum-richtexteditor-paragraph"/>
    <w:basedOn w:val="Normal"/>
    <w:rsid w:val="00706F2A"/>
    <w:pPr>
      <w:spacing w:before="100" w:beforeAutospacing="1" w:after="100" w:afterAutospacing="1" w:line="240" w:lineRule="auto"/>
    </w:pPr>
    <w:rPr>
      <w:rFonts w:ascii="Calibri" w:hAnsi="Calibri" w:cs="Calibri"/>
      <w:kern w:val="0"/>
      <w:lang w:eastAsia="en-CA"/>
      <w14:ligatures w14:val="none"/>
    </w:rPr>
  </w:style>
  <w:style w:type="paragraph" w:customStyle="1" w:styleId="Default">
    <w:name w:val="Default"/>
    <w:rsid w:val="00706F2A"/>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paragraph" w:styleId="Header">
    <w:name w:val="header"/>
    <w:basedOn w:val="Normal"/>
    <w:link w:val="HeaderChar"/>
    <w:uiPriority w:val="99"/>
    <w:unhideWhenUsed/>
    <w:rsid w:val="00232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A21"/>
  </w:style>
  <w:style w:type="paragraph" w:styleId="Footer">
    <w:name w:val="footer"/>
    <w:aliases w:val="FOR ADVISOR USE ONLY"/>
    <w:basedOn w:val="Normal"/>
    <w:link w:val="FooterChar"/>
    <w:uiPriority w:val="99"/>
    <w:unhideWhenUsed/>
    <w:qFormat/>
    <w:rsid w:val="00232A21"/>
    <w:pPr>
      <w:tabs>
        <w:tab w:val="center" w:pos="4680"/>
        <w:tab w:val="right" w:pos="9360"/>
      </w:tabs>
      <w:spacing w:after="0" w:line="240" w:lineRule="auto"/>
    </w:pPr>
  </w:style>
  <w:style w:type="character" w:customStyle="1" w:styleId="FooterChar">
    <w:name w:val="Footer Char"/>
    <w:aliases w:val="FOR ADVISOR USE ONLY Char"/>
    <w:basedOn w:val="DefaultParagraphFont"/>
    <w:link w:val="Footer"/>
    <w:uiPriority w:val="99"/>
    <w:rsid w:val="00232A21"/>
  </w:style>
  <w:style w:type="table" w:styleId="TableGrid">
    <w:name w:val="Table Grid"/>
    <w:basedOn w:val="TableNormal"/>
    <w:uiPriority w:val="59"/>
    <w:rsid w:val="00232A2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67384">
      <w:bodyDiv w:val="1"/>
      <w:marLeft w:val="0"/>
      <w:marRight w:val="0"/>
      <w:marTop w:val="0"/>
      <w:marBottom w:val="0"/>
      <w:divBdr>
        <w:top w:val="none" w:sz="0" w:space="0" w:color="auto"/>
        <w:left w:val="none" w:sz="0" w:space="0" w:color="auto"/>
        <w:bottom w:val="none" w:sz="0" w:space="0" w:color="auto"/>
        <w:right w:val="none" w:sz="0" w:space="0" w:color="auto"/>
      </w:divBdr>
    </w:div>
    <w:div w:id="1038120140">
      <w:bodyDiv w:val="1"/>
      <w:marLeft w:val="0"/>
      <w:marRight w:val="0"/>
      <w:marTop w:val="0"/>
      <w:marBottom w:val="0"/>
      <w:divBdr>
        <w:top w:val="none" w:sz="0" w:space="0" w:color="auto"/>
        <w:left w:val="none" w:sz="0" w:space="0" w:color="auto"/>
        <w:bottom w:val="none" w:sz="0" w:space="0" w:color="auto"/>
        <w:right w:val="none" w:sz="0" w:space="0" w:color="auto"/>
      </w:divBdr>
    </w:div>
    <w:div w:id="1298997884">
      <w:bodyDiv w:val="1"/>
      <w:marLeft w:val="0"/>
      <w:marRight w:val="0"/>
      <w:marTop w:val="0"/>
      <w:marBottom w:val="0"/>
      <w:divBdr>
        <w:top w:val="none" w:sz="0" w:space="0" w:color="auto"/>
        <w:left w:val="none" w:sz="0" w:space="0" w:color="auto"/>
        <w:bottom w:val="none" w:sz="0" w:space="0" w:color="auto"/>
        <w:right w:val="none" w:sz="0" w:space="0" w:color="auto"/>
      </w:divBdr>
    </w:div>
    <w:div w:id="1446922196">
      <w:bodyDiv w:val="1"/>
      <w:marLeft w:val="0"/>
      <w:marRight w:val="0"/>
      <w:marTop w:val="0"/>
      <w:marBottom w:val="0"/>
      <w:divBdr>
        <w:top w:val="none" w:sz="0" w:space="0" w:color="auto"/>
        <w:left w:val="none" w:sz="0" w:space="0" w:color="auto"/>
        <w:bottom w:val="none" w:sz="0" w:space="0" w:color="auto"/>
        <w:right w:val="none" w:sz="0" w:space="0" w:color="auto"/>
      </w:divBdr>
    </w:div>
    <w:div w:id="1927380643">
      <w:bodyDiv w:val="1"/>
      <w:marLeft w:val="0"/>
      <w:marRight w:val="0"/>
      <w:marTop w:val="0"/>
      <w:marBottom w:val="0"/>
      <w:divBdr>
        <w:top w:val="none" w:sz="0" w:space="0" w:color="auto"/>
        <w:left w:val="none" w:sz="0" w:space="0" w:color="auto"/>
        <w:bottom w:val="none" w:sz="0" w:space="0" w:color="auto"/>
        <w:right w:val="none" w:sz="0" w:space="0" w:color="auto"/>
      </w:divBdr>
    </w:div>
    <w:div w:id="209007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Nolan</dc:creator>
  <cp:lastModifiedBy>Tersigni, Rocky</cp:lastModifiedBy>
  <cp:revision>2</cp:revision>
  <dcterms:created xsi:type="dcterms:W3CDTF">2025-02-06T18:21:00Z</dcterms:created>
  <dcterms:modified xsi:type="dcterms:W3CDTF">2025-02-06T18:21:00Z</dcterms:modified>
</cp:coreProperties>
</file>